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464" w:rsidRPr="00300464" w:rsidRDefault="00300464" w:rsidP="00766F49">
      <w:pPr>
        <w:spacing w:before="100" w:beforeAutospacing="1" w:after="100" w:afterAutospacing="1" w:line="240" w:lineRule="auto"/>
        <w:jc w:val="both"/>
        <w:rPr>
          <w:rFonts w:ascii="Arial" w:eastAsia="Times New Roman" w:hAnsi="Arial" w:cs="Arial"/>
          <w:sz w:val="15"/>
          <w:szCs w:val="15"/>
          <w:lang w:eastAsia="fr-FR"/>
        </w:rPr>
      </w:pPr>
      <w:r w:rsidRPr="00300464">
        <w:rPr>
          <w:rFonts w:ascii="Arial" w:eastAsia="Times New Roman" w:hAnsi="Arial" w:cs="Arial"/>
          <w:b/>
          <w:bCs/>
          <w:color w:val="0078BC"/>
          <w:sz w:val="24"/>
          <w:szCs w:val="24"/>
          <w:lang w:eastAsia="fr-FR"/>
        </w:rPr>
        <w:t>Analyste de l’énergie - Responsable de bureau géographique</w:t>
      </w:r>
      <w:r>
        <w:rPr>
          <w:rFonts w:ascii="Arial" w:eastAsia="Times New Roman" w:hAnsi="Arial" w:cs="Arial"/>
          <w:b/>
          <w:bCs/>
          <w:color w:val="0078BC"/>
          <w:sz w:val="24"/>
          <w:szCs w:val="24"/>
          <w:lang w:eastAsia="fr-FR"/>
        </w:rPr>
        <w:t xml:space="preserve"> </w:t>
      </w:r>
      <w:proofErr w:type="gramStart"/>
      <w:r w:rsidRPr="00300464">
        <w:rPr>
          <w:rFonts w:ascii="Arial" w:eastAsia="Times New Roman" w:hAnsi="Arial" w:cs="Arial"/>
          <w:b/>
          <w:bCs/>
          <w:color w:val="0078BC"/>
          <w:sz w:val="24"/>
          <w:szCs w:val="24"/>
          <w:lang w:eastAsia="fr-FR"/>
        </w:rPr>
        <w:t>(</w:t>
      </w:r>
      <w:r>
        <w:rPr>
          <w:rFonts w:ascii="Arial" w:eastAsia="Times New Roman" w:hAnsi="Arial" w:cs="Arial"/>
          <w:b/>
          <w:bCs/>
          <w:color w:val="0078BC"/>
          <w:sz w:val="24"/>
          <w:szCs w:val="24"/>
          <w:lang w:eastAsia="fr-FR"/>
        </w:rPr>
        <w:t xml:space="preserve"> </w:t>
      </w:r>
      <w:r w:rsidRPr="00300464">
        <w:rPr>
          <w:rFonts w:ascii="Arial" w:eastAsia="Times New Roman" w:hAnsi="Arial" w:cs="Arial"/>
          <w:b/>
          <w:bCs/>
          <w:color w:val="0078BC"/>
          <w:kern w:val="36"/>
          <w:sz w:val="24"/>
          <w:szCs w:val="24"/>
          <w:lang w:eastAsia="fr-FR"/>
        </w:rPr>
        <w:t>Numéro</w:t>
      </w:r>
      <w:proofErr w:type="gramEnd"/>
      <w:r w:rsidRPr="00300464">
        <w:rPr>
          <w:rFonts w:ascii="Arial" w:eastAsia="Times New Roman" w:hAnsi="Arial" w:cs="Arial"/>
          <w:b/>
          <w:bCs/>
          <w:color w:val="0078BC"/>
          <w:kern w:val="36"/>
          <w:sz w:val="24"/>
          <w:szCs w:val="24"/>
          <w:lang w:eastAsia="fr-FR"/>
        </w:rPr>
        <w:t xml:space="preserve"> de l'emploi :</w:t>
      </w:r>
      <w:r>
        <w:rPr>
          <w:rFonts w:ascii="Arial" w:eastAsia="Times New Roman" w:hAnsi="Arial" w:cs="Arial"/>
          <w:b/>
          <w:bCs/>
          <w:color w:val="0078BC"/>
          <w:kern w:val="36"/>
          <w:sz w:val="24"/>
          <w:szCs w:val="24"/>
          <w:lang w:eastAsia="fr-FR"/>
        </w:rPr>
        <w:t xml:space="preserve"> </w:t>
      </w:r>
      <w:r w:rsidRPr="00300464">
        <w:rPr>
          <w:rFonts w:ascii="Arial" w:eastAsia="Times New Roman" w:hAnsi="Arial" w:cs="Arial"/>
          <w:sz w:val="15"/>
          <w:szCs w:val="15"/>
          <w:lang w:eastAsia="fr-FR"/>
        </w:rPr>
        <w:t> </w:t>
      </w:r>
      <w:r w:rsidRPr="00300464">
        <w:rPr>
          <w:rFonts w:ascii="Arial" w:eastAsia="Times New Roman" w:hAnsi="Arial" w:cs="Arial"/>
          <w:b/>
          <w:bCs/>
          <w:color w:val="0078BC"/>
          <w:sz w:val="24"/>
          <w:szCs w:val="24"/>
          <w:lang w:eastAsia="fr-FR"/>
        </w:rPr>
        <w:t>12299)</w:t>
      </w:r>
    </w:p>
    <w:p w:rsidR="00300464" w:rsidRPr="00300464" w:rsidRDefault="00300464" w:rsidP="00766F49">
      <w:pPr>
        <w:spacing w:after="0" w:line="240" w:lineRule="auto"/>
        <w:jc w:val="both"/>
        <w:outlineLvl w:val="1"/>
        <w:rPr>
          <w:rFonts w:ascii="Arial" w:eastAsia="Times New Roman" w:hAnsi="Arial" w:cs="Arial"/>
          <w:b/>
          <w:bCs/>
          <w:sz w:val="15"/>
          <w:szCs w:val="15"/>
          <w:lang w:eastAsia="fr-FR"/>
        </w:rPr>
      </w:pPr>
      <w:r w:rsidRPr="00300464">
        <w:rPr>
          <w:rFonts w:ascii="Arial" w:eastAsia="Times New Roman" w:hAnsi="Arial" w:cs="Arial"/>
          <w:b/>
          <w:bCs/>
          <w:color w:val="000000"/>
          <w:sz w:val="18"/>
          <w:szCs w:val="18"/>
          <w:lang w:eastAsia="fr-FR"/>
        </w:rPr>
        <w:t>Date de clôture</w:t>
      </w:r>
    </w:p>
    <w:p w:rsidR="00300464" w:rsidRPr="00300464" w:rsidRDefault="00300464" w:rsidP="00766F49">
      <w:pPr>
        <w:spacing w:after="0" w:line="240" w:lineRule="auto"/>
        <w:jc w:val="both"/>
        <w:rPr>
          <w:rFonts w:ascii="Arial" w:eastAsia="Times New Roman" w:hAnsi="Arial" w:cs="Arial"/>
          <w:sz w:val="15"/>
          <w:szCs w:val="15"/>
          <w:lang w:eastAsia="fr-FR"/>
        </w:rPr>
      </w:pPr>
      <w:r w:rsidRPr="00300464">
        <w:rPr>
          <w:rFonts w:ascii="Arial" w:eastAsia="Times New Roman" w:hAnsi="Arial" w:cs="Arial"/>
          <w:b/>
          <w:bCs/>
          <w:color w:val="000000"/>
          <w:sz w:val="18"/>
          <w:szCs w:val="18"/>
          <w:lang w:eastAsia="fr-FR"/>
        </w:rPr>
        <w:t>:</w:t>
      </w:r>
      <w:r w:rsidRPr="00300464">
        <w:rPr>
          <w:rFonts w:ascii="Arial" w:eastAsia="Times New Roman" w:hAnsi="Arial" w:cs="Arial"/>
          <w:sz w:val="15"/>
          <w:szCs w:val="15"/>
          <w:lang w:eastAsia="fr-FR"/>
        </w:rPr>
        <w:t> </w:t>
      </w:r>
      <w:r w:rsidRPr="00300464">
        <w:rPr>
          <w:rFonts w:ascii="Arial" w:eastAsia="Times New Roman" w:hAnsi="Arial" w:cs="Arial"/>
          <w:color w:val="000000"/>
          <w:sz w:val="18"/>
          <w:szCs w:val="18"/>
          <w:lang w:eastAsia="fr-FR"/>
        </w:rPr>
        <w:t>17-09-2018, 23:59:00</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L’</w:t>
      </w:r>
      <w:hyperlink r:id="rId5" w:history="1">
        <w:r w:rsidRPr="00300464">
          <w:rPr>
            <w:rFonts w:ascii="Arial" w:eastAsia="Times New Roman" w:hAnsi="Arial" w:cs="Arial"/>
            <w:color w:val="0000FF"/>
            <w:sz w:val="20"/>
            <w:szCs w:val="20"/>
            <w:u w:val="single"/>
            <w:lang w:eastAsia="fr-FR"/>
          </w:rPr>
          <w:t>OCDE</w:t>
        </w:r>
      </w:hyperlink>
      <w:r w:rsidRPr="00300464">
        <w:rPr>
          <w:rFonts w:ascii="Arial" w:eastAsia="Times New Roman" w:hAnsi="Arial" w:cs="Arial"/>
          <w:color w:val="000000"/>
          <w:sz w:val="20"/>
          <w:szCs w:val="20"/>
          <w:lang w:eastAsia="fr-FR"/>
        </w:rPr>
        <w:t xml:space="preserve"> est un forum économique mondial qui œuvre, au</w:t>
      </w:r>
      <w:bookmarkStart w:id="0" w:name="_GoBack"/>
      <w:bookmarkEnd w:id="0"/>
      <w:r w:rsidRPr="00300464">
        <w:rPr>
          <w:rFonts w:ascii="Arial" w:eastAsia="Times New Roman" w:hAnsi="Arial" w:cs="Arial"/>
          <w:color w:val="000000"/>
          <w:sz w:val="20"/>
          <w:szCs w:val="20"/>
          <w:lang w:eastAsia="fr-FR"/>
        </w:rPr>
        <w:t xml:space="preserve">x côtés de ses 35 pays membres et de plus d’une centaine d’économies émergentes et en développement, à l’élaboration de politiques meilleures pour une vie meilleure. Notre mission consiste à promouvoir des politiques de nature à améliorer le bien-être économique et social des populations partout dans le monde. L’Organisation est une enceinte unique en son genre où les gouvernements unissent leurs efforts et confrontent leur expérience quant aux facteurs qui déterminent les évolutions économiques, sociales et environnementales, afin d’apporter des solutions à des problèmes communs.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L’</w:t>
      </w:r>
      <w:hyperlink r:id="rId6" w:history="1">
        <w:r w:rsidRPr="00300464">
          <w:rPr>
            <w:rFonts w:ascii="Arial" w:eastAsia="Times New Roman" w:hAnsi="Arial" w:cs="Arial"/>
            <w:color w:val="0000FF"/>
            <w:sz w:val="20"/>
            <w:szCs w:val="20"/>
            <w:u w:val="single"/>
            <w:lang w:eastAsia="fr-FR"/>
          </w:rPr>
          <w:t>Agence internationale de l’énergie</w:t>
        </w:r>
      </w:hyperlink>
      <w:r w:rsidRPr="00300464">
        <w:rPr>
          <w:rFonts w:ascii="Arial" w:eastAsia="Times New Roman" w:hAnsi="Arial" w:cs="Arial"/>
          <w:color w:val="000000"/>
          <w:sz w:val="20"/>
          <w:szCs w:val="20"/>
          <w:lang w:eastAsia="fr-FR"/>
        </w:rPr>
        <w:t xml:space="preserve"> (AIE) est une organisation intergouvernementale qui œuvre en faveur de la sécurité des approvisionnements énergétiques, de la croissance économique et de la durabilité environnementale en promouvant la coopération dans le domaine des politiques énergétiques. L’AIE fonctionne en tant qu’organe autonome au sein de l’Organisation de coopération et de développement économiques. L’OCDE et l’AIE </w:t>
      </w:r>
      <w:proofErr w:type="gramStart"/>
      <w:r w:rsidRPr="00300464">
        <w:rPr>
          <w:rFonts w:ascii="Arial" w:eastAsia="Times New Roman" w:hAnsi="Arial" w:cs="Arial"/>
          <w:color w:val="000000"/>
          <w:sz w:val="20"/>
          <w:szCs w:val="20"/>
          <w:lang w:eastAsia="fr-FR"/>
        </w:rPr>
        <w:t>recherchent</w:t>
      </w:r>
      <w:proofErr w:type="gramEnd"/>
      <w:r w:rsidRPr="00300464">
        <w:rPr>
          <w:rFonts w:ascii="Arial" w:eastAsia="Times New Roman" w:hAnsi="Arial" w:cs="Arial"/>
          <w:color w:val="000000"/>
          <w:sz w:val="20"/>
          <w:szCs w:val="20"/>
          <w:lang w:eastAsia="fr-FR"/>
        </w:rPr>
        <w:t xml:space="preserve"> l’une et l’autre des occasions de collaborer avec un nombre croissant de non-Membres qui jouent un rôle de plus en plus important dans l’économie mondiale.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La Division de la politique et de la sécurité énergétiques de l’AIE est responsable, entre autres, des examens approfondis des politiques énergétiques des pays membres de l’AIE, qui débouchent sur la production des publications intitulées « </w:t>
      </w:r>
      <w:proofErr w:type="spellStart"/>
      <w:r w:rsidRPr="00300464">
        <w:rPr>
          <w:rFonts w:ascii="Arial" w:eastAsia="Times New Roman" w:hAnsi="Arial" w:cs="Arial"/>
          <w:i/>
          <w:iCs/>
          <w:color w:val="000000"/>
          <w:sz w:val="20"/>
          <w:szCs w:val="20"/>
          <w:lang w:eastAsia="fr-FR"/>
        </w:rPr>
        <w:t>Energy</w:t>
      </w:r>
      <w:proofErr w:type="spellEnd"/>
      <w:r w:rsidRPr="00300464">
        <w:rPr>
          <w:rFonts w:ascii="Arial" w:eastAsia="Times New Roman" w:hAnsi="Arial" w:cs="Arial"/>
          <w:i/>
          <w:iCs/>
          <w:color w:val="000000"/>
          <w:sz w:val="20"/>
          <w:szCs w:val="20"/>
          <w:lang w:eastAsia="fr-FR"/>
        </w:rPr>
        <w:t xml:space="preserve"> </w:t>
      </w:r>
      <w:proofErr w:type="spellStart"/>
      <w:r w:rsidRPr="00300464">
        <w:rPr>
          <w:rFonts w:ascii="Arial" w:eastAsia="Times New Roman" w:hAnsi="Arial" w:cs="Arial"/>
          <w:i/>
          <w:iCs/>
          <w:color w:val="000000"/>
          <w:sz w:val="20"/>
          <w:szCs w:val="20"/>
          <w:lang w:eastAsia="fr-FR"/>
        </w:rPr>
        <w:t>Policies</w:t>
      </w:r>
      <w:proofErr w:type="spellEnd"/>
      <w:r w:rsidRPr="00300464">
        <w:rPr>
          <w:rFonts w:ascii="Arial" w:eastAsia="Times New Roman" w:hAnsi="Arial" w:cs="Arial"/>
          <w:i/>
          <w:iCs/>
          <w:color w:val="000000"/>
          <w:sz w:val="20"/>
          <w:szCs w:val="20"/>
          <w:lang w:eastAsia="fr-FR"/>
        </w:rPr>
        <w:t xml:space="preserve"> of IEA Countries</w:t>
      </w:r>
      <w:r w:rsidRPr="00300464">
        <w:rPr>
          <w:rFonts w:ascii="Arial" w:eastAsia="Times New Roman" w:hAnsi="Arial" w:cs="Arial"/>
          <w:color w:val="000000"/>
          <w:sz w:val="20"/>
          <w:szCs w:val="20"/>
          <w:lang w:eastAsia="fr-FR"/>
        </w:rPr>
        <w:t xml:space="preserve"> ». Les politiques énergétiques de six pays membres font chaque année l’objet d’un tel examen approfondi par les pairs d’autres pays membres et le Secrétariat de l’AIE. Ces examens contribuent à l’élaboration de politiques énergétiques plus efficaces face aux défis énergétiques mondiaux. Ils permettent d’améliorer l’échange d’informations, de diffuser les bonnes pratiques entre les pays et d’apporter des enseignements utiles aux responsables des politiques énergétiques. L’AIE conduit parfois sur ce modèle des examens des politiques énergétiques de pays partenaires.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p>
    <w:p w:rsidR="00300464" w:rsidRPr="00300464" w:rsidRDefault="00300464" w:rsidP="00766F49">
      <w:pPr>
        <w:spacing w:after="0" w:line="240" w:lineRule="auto"/>
        <w:jc w:val="both"/>
        <w:rPr>
          <w:rFonts w:ascii="Arial" w:eastAsia="Times New Roman" w:hAnsi="Arial" w:cs="Arial"/>
          <w:color w:val="000000"/>
          <w:sz w:val="20"/>
          <w:szCs w:val="20"/>
          <w:lang w:eastAsia="fr-FR"/>
        </w:rPr>
      </w:pPr>
      <w:r w:rsidRPr="00300464">
        <w:rPr>
          <w:rFonts w:ascii="Arial" w:eastAsia="Times New Roman" w:hAnsi="Arial" w:cs="Arial"/>
          <w:color w:val="000000"/>
          <w:sz w:val="20"/>
          <w:szCs w:val="20"/>
          <w:lang w:eastAsia="fr-FR"/>
        </w:rPr>
        <w:t xml:space="preserve">L’AIE </w:t>
      </w:r>
      <w:proofErr w:type="gramStart"/>
      <w:r w:rsidRPr="00300464">
        <w:rPr>
          <w:rFonts w:ascii="Arial" w:eastAsia="Times New Roman" w:hAnsi="Arial" w:cs="Arial"/>
          <w:color w:val="000000"/>
          <w:sz w:val="20"/>
          <w:szCs w:val="20"/>
          <w:lang w:eastAsia="fr-FR"/>
        </w:rPr>
        <w:t>recherche</w:t>
      </w:r>
      <w:proofErr w:type="gramEnd"/>
      <w:r w:rsidRPr="00300464">
        <w:rPr>
          <w:rFonts w:ascii="Arial" w:eastAsia="Times New Roman" w:hAnsi="Arial" w:cs="Arial"/>
          <w:color w:val="000000"/>
          <w:sz w:val="20"/>
          <w:szCs w:val="20"/>
          <w:lang w:eastAsia="fr-FR"/>
        </w:rPr>
        <w:t xml:space="preserve"> un(e) analyste de l’énergie qui assurera la fonction de responsable de bureau géographique pour une dizaine de pays membres de l’AIE et préparera et conduira à intervalles réguliers des examens des politiques énergétiques nationales des pays membres de l’AIE. Le/La responsable de bureau géographique gère tous les aspects des examens des politiques énergétiques effectués par l’AIE concernant ses pays membres, </w:t>
      </w:r>
      <w:proofErr w:type="gramStart"/>
      <w:r w:rsidRPr="00300464">
        <w:rPr>
          <w:rFonts w:ascii="Arial" w:eastAsia="Times New Roman" w:hAnsi="Arial" w:cs="Arial"/>
          <w:color w:val="000000"/>
          <w:sz w:val="20"/>
          <w:szCs w:val="20"/>
          <w:lang w:eastAsia="fr-FR"/>
        </w:rPr>
        <w:t>et  peut</w:t>
      </w:r>
      <w:proofErr w:type="gramEnd"/>
      <w:r w:rsidRPr="00300464">
        <w:rPr>
          <w:rFonts w:ascii="Arial" w:eastAsia="Times New Roman" w:hAnsi="Arial" w:cs="Arial"/>
          <w:color w:val="000000"/>
          <w:sz w:val="20"/>
          <w:szCs w:val="20"/>
          <w:lang w:eastAsia="fr-FR"/>
        </w:rPr>
        <w:t xml:space="preserve"> également intervenir dans des examens proposés à des pays non membres. Ces examens passent en revue toutes les politiques relatives à l’énergie, dont notamment celles qui concernent les marchés de l’énergie, la sécurité énergétique, la transformation des systèmes énergétiques, l’efficacité énergétique, et la recherche-développement. Ils comportent des données de référence factuelles et des analyses, des évaluations des politiques en place et des recommandations d’amélioration à l’intention des gouvernements, des informations techniques destinées à des décideurs publics et à des acteurs expérimentés ainsi que des renseignements d’ordre général et des analyses destinés aux profanes. Le/La responsable de bureau géographique assure également de manière suivie l’analyse des politiques des pays dont l’étude lui a été confiée, ainsi que d’autres tâches, notamment la préparation de notes sur les pays, selon les besoins.</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Le/La candidat(e) retenu(e) travaillera sous la direction du Chef de division, au sein d’une équipe de professionnels enthousiastes dans une ambiance collégiale, dynamique et d’intense activité.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b/>
          <w:bCs/>
          <w:color w:val="000000"/>
          <w:sz w:val="20"/>
          <w:szCs w:val="20"/>
          <w:lang w:eastAsia="fr-FR"/>
        </w:rPr>
        <w:t>Responsabilités principales</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b/>
          <w:bCs/>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Analyse et rédaction</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Rédiger la plupart des chapitres des rapports sur les politiques énergétiques, comprenant des explications générales, des analyses quantitatives et qualitatives, des critiques et des évaluations. </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Rédiger des discours pour le Directeur exécutif de l’AIE et des communiqués de presse destinés aux conférences de presse.</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lastRenderedPageBreak/>
        <w:t>Suivre en permanence tous les faits nouveaux se rapportant à des questions énergétiques dans les pays dont l’étude lui a été confiée.</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Suivre et analyser les activités </w:t>
      </w:r>
      <w:proofErr w:type="spellStart"/>
      <w:r w:rsidRPr="00300464">
        <w:rPr>
          <w:rFonts w:ascii="Arial" w:eastAsia="Times New Roman" w:hAnsi="Arial" w:cs="Arial"/>
          <w:color w:val="000000"/>
          <w:sz w:val="20"/>
          <w:szCs w:val="20"/>
          <w:lang w:eastAsia="fr-FR"/>
        </w:rPr>
        <w:t>transsectorielles</w:t>
      </w:r>
      <w:proofErr w:type="spellEnd"/>
      <w:r w:rsidRPr="00300464">
        <w:rPr>
          <w:rFonts w:ascii="Arial" w:eastAsia="Times New Roman" w:hAnsi="Arial" w:cs="Arial"/>
          <w:color w:val="000000"/>
          <w:sz w:val="20"/>
          <w:szCs w:val="20"/>
          <w:lang w:eastAsia="fr-FR"/>
        </w:rPr>
        <w:t xml:space="preserve"> (y compris l’évolution de la situation dans les pays non membres), et prêter son concours pour formuler des propositions d’action aux niveaux national et international, en vue de faciliter la réalisation des objectifs de politique énergétique approuvés d’un commun accord au sein de l’AIE.</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Contribuer aux travaux des autres divisions de l’AIE quand ils portent sur des aspects particuliers des pays dont l’examen lui a été confié.</w:t>
      </w:r>
    </w:p>
    <w:p w:rsidR="00300464" w:rsidRPr="00300464" w:rsidRDefault="00300464" w:rsidP="00766F4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Préparer les documents de synthèse des politiques à utiliser lors des missions dans les pays examinés.</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Liaison et relations avec l’extérieur</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Établir et entretenir de bons contacts avec les parties prenantes des pays dont l’examen lui a été confié, les délégations nationales auprès de l’OCDE, les administrations des pays membres et des grands pays non membres, les représentants du secteur énergétique et d’autres groupements d’intérêts dans ce domaine.</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Collaborer étroitement avec les autres agents de l’AIE et les administrations nationales durant la préparation, la rédaction, la publication et la phase de mise en diffusion des rapports d’examen ; ainsi qu’avec le bureau du Directeur exécutif de l’AIE pour la préparation de la conférence de presse au cours de laquelle les examens seront lancés.</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Diriger et aider les équipes d’experts chargées des examens de la situation des pays membres de l’AIE durant toute la durée du processus d’examen (tant des agents de l’AIE que des experts extérieurs travaillent dans le cadre de ces équipes).</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Gérer les missions organisées dans les pays examinés pour les membres des équipes chargées des examens, et y prendre part. Programmer et coordonner les réunions avec les représentants de l’administration et de l’industrie ainsi qu’avec d’autres parties prenantes dans ces pays pour aborder tous les aspects concernant leur secteur énergétique.</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Gérer la logistique et assurer la coordination des missions pour les différents examens par pays, et servir d’interlocuteur pour assurer la liaison entre les membres de l’équipe.</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Accompagner le Directeur exécutif en mission pour les conférences de presse de lancement des examens nationaux, et formuler des orientations sur l’action à mener et prêter son concours dans les discussions avec les représentants officiels et la presse.</w:t>
      </w:r>
    </w:p>
    <w:p w:rsidR="00300464" w:rsidRPr="00300464" w:rsidRDefault="00300464" w:rsidP="00766F4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Présenter le rapport aux comités de l’AIE ainsi qu’à de plus larges publics.</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Autres tâches</w:t>
      </w:r>
    </w:p>
    <w:p w:rsidR="00300464" w:rsidRPr="00300464" w:rsidRDefault="00300464" w:rsidP="00766F49">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Apporter des éléments d’analyse pour la préparation des notes de synthèse du Directeur exécutif et des autres hauts responsables.</w:t>
      </w:r>
    </w:p>
    <w:p w:rsidR="00300464" w:rsidRPr="00300464" w:rsidRDefault="00300464" w:rsidP="00766F49">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Participer à l’ensemble du travail de la division et, si nécessaire, dans d’autres domaines de l’AIE.</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b/>
          <w:bCs/>
          <w:color w:val="000000"/>
          <w:sz w:val="20"/>
          <w:szCs w:val="20"/>
          <w:lang w:eastAsia="fr-FR"/>
        </w:rPr>
        <w:t>Profil idéal du/de la candidat(e)</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Formation</w:t>
      </w:r>
    </w:p>
    <w:p w:rsidR="00300464" w:rsidRPr="00300464" w:rsidRDefault="00300464" w:rsidP="00766F49">
      <w:pPr>
        <w:numPr>
          <w:ilvl w:val="0"/>
          <w:numId w:val="4"/>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Un ou plusieurs diplômes universitaires de niveau supérieur dans une discipline pertinente, telle que les sciences économiques, le commerce, les sciences politiques, les statistiques, ou dans un domaine connexe.</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Expérience professionnelle</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Au moins cinq ans d’expérience dans le domaine des politiques énergétiques, acquise au sein d’une administration nationale, d’une organisation internationale ou dans le secteur privé.</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Excellente connaissance du secteur de l’énergie (par exemple, régulation du marché du gaz et/ou de l’électricité, sécurité énergétique, combustibles fossiles, efficacité </w:t>
      </w:r>
      <w:r w:rsidRPr="00300464">
        <w:rPr>
          <w:rFonts w:ascii="Arial" w:eastAsia="Times New Roman" w:hAnsi="Arial" w:cs="Arial"/>
          <w:color w:val="000000"/>
          <w:sz w:val="20"/>
          <w:szCs w:val="20"/>
          <w:lang w:eastAsia="fr-FR"/>
        </w:rPr>
        <w:lastRenderedPageBreak/>
        <w:t xml:space="preserve">énergétique et/ou énergies renouvelables) ainsi qu’une large connaissance des politiques énergétiques et climatiques, notamment de transition énergétique. Facilité et intérêt pour l’étude de tous les secteurs énergétiques. </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Expérience de la rédaction d’analyses scientifiques et/ou techniques, confirmée par des éléments concrets (par exemple, rapports scientifiques, contributions à des publications).</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Aptitude avérée à effectuer des travaux quantitatifs et analytiques (politiques, juridiques et/ou techniques) dans un contexte stratégique, confirmée par des projets et produits de travaux antérieurs. </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Aptitude avérée à conduire et organiser un projet de publication de bout en bout avec plusieurs auteurs, afin d’assurer l’excellence quantitative et analytique, et aptitude à expliquer des questions techniques complexes à un lectorat plutôt versé en politique générale.</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Aptitude à communiquer des résultats à des personnalités de haut niveau d’horizons différents œuvrant dans des domaines divers.</w:t>
      </w:r>
    </w:p>
    <w:p w:rsidR="00300464" w:rsidRPr="00300464" w:rsidRDefault="00300464" w:rsidP="00766F4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Sens développé des relations interpersonnelles et aptitude avérée à travailler en équipe, et notamment à entretenir des relations de travail harmonieuses avec les autres membres du personnel à tous les niveaux dans un environnement pluriculturel, et faculté de dynamiser les contacts avec les représentants officiels dans les enceintes nationales et internationales.</w:t>
      </w:r>
      <w:r w:rsidRPr="00300464">
        <w:rPr>
          <w:rFonts w:ascii="Arial" w:eastAsia="Times New Roman" w:hAnsi="Arial" w:cs="Arial"/>
          <w:color w:val="000000"/>
          <w:sz w:val="18"/>
          <w:szCs w:val="18"/>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u w:val="single"/>
          <w:lang w:eastAsia="fr-FR"/>
        </w:rPr>
        <w:t>Langues</w:t>
      </w:r>
    </w:p>
    <w:p w:rsidR="00300464" w:rsidRPr="00300464" w:rsidRDefault="00300464" w:rsidP="00766F49">
      <w:pPr>
        <w:numPr>
          <w:ilvl w:val="0"/>
          <w:numId w:val="6"/>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Maîtrise courante d’une des deux langues officielles de l’OCDE (français et anglais) et connaissance de l’autre langue, que le/la candidat(e) retenu(e) s’engage à porter à un niveau opérationnel.  </w:t>
      </w:r>
    </w:p>
    <w:p w:rsidR="00300464" w:rsidRPr="00300464" w:rsidRDefault="00300464" w:rsidP="00766F49">
      <w:pPr>
        <w:numPr>
          <w:ilvl w:val="0"/>
          <w:numId w:val="6"/>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La connaissance d’une ou plusieurs langues serait un avantage.</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b/>
          <w:bCs/>
          <w:color w:val="000000"/>
          <w:sz w:val="20"/>
          <w:szCs w:val="20"/>
          <w:lang w:eastAsia="fr-FR"/>
        </w:rPr>
        <w:t xml:space="preserve">Compétences clés </w:t>
      </w:r>
    </w:p>
    <w:p w:rsidR="00300464" w:rsidRPr="00300464" w:rsidRDefault="00300464" w:rsidP="00766F49">
      <w:pPr>
        <w:numPr>
          <w:ilvl w:val="0"/>
          <w:numId w:val="7"/>
        </w:numPr>
        <w:spacing w:before="100" w:beforeAutospacing="1" w:after="100" w:afterAutospacing="1" w:line="240" w:lineRule="auto"/>
        <w:jc w:val="both"/>
        <w:rPr>
          <w:rFonts w:ascii="Arial" w:eastAsia="Times New Roman" w:hAnsi="Arial" w:cs="Arial"/>
          <w:color w:val="000000"/>
          <w:sz w:val="18"/>
          <w:szCs w:val="18"/>
          <w:lang w:eastAsia="fr-FR"/>
        </w:rPr>
      </w:pPr>
      <w:proofErr w:type="spellStart"/>
      <w:r w:rsidRPr="00300464">
        <w:rPr>
          <w:rFonts w:ascii="Arial" w:eastAsia="Times New Roman" w:hAnsi="Arial" w:cs="Arial"/>
          <w:color w:val="000000"/>
          <w:sz w:val="20"/>
          <w:szCs w:val="20"/>
          <w:lang w:eastAsia="fr-FR"/>
        </w:rPr>
        <w:t>Veuillez vous</w:t>
      </w:r>
      <w:proofErr w:type="spellEnd"/>
      <w:r w:rsidRPr="00300464">
        <w:rPr>
          <w:rFonts w:ascii="Arial" w:eastAsia="Times New Roman" w:hAnsi="Arial" w:cs="Arial"/>
          <w:color w:val="000000"/>
          <w:sz w:val="20"/>
          <w:szCs w:val="20"/>
          <w:lang w:eastAsia="fr-FR"/>
        </w:rPr>
        <w:t xml:space="preserve"> référer au niveau 3 des </w:t>
      </w:r>
      <w:hyperlink r:id="rId7" w:history="1">
        <w:r w:rsidRPr="00300464">
          <w:rPr>
            <w:rFonts w:ascii="Arial" w:eastAsia="Times New Roman" w:hAnsi="Arial" w:cs="Arial"/>
            <w:color w:val="0000FF"/>
            <w:sz w:val="20"/>
            <w:szCs w:val="20"/>
            <w:u w:val="single"/>
            <w:lang w:eastAsia="fr-FR"/>
          </w:rPr>
          <w:t>compétences clés de l’OCDE</w:t>
        </w:r>
      </w:hyperlink>
      <w:hyperlink r:id="rId8" w:history="1">
        <w:r w:rsidRPr="00300464">
          <w:rPr>
            <w:rFonts w:ascii="Arial" w:eastAsia="Times New Roman" w:hAnsi="Arial" w:cs="Arial"/>
            <w:color w:val="0000FF"/>
            <w:sz w:val="20"/>
            <w:szCs w:val="20"/>
            <w:u w:val="single"/>
            <w:lang w:eastAsia="fr-FR"/>
          </w:rPr>
          <w:t>.</w:t>
        </w:r>
      </w:hyperlink>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b/>
          <w:bCs/>
          <w:color w:val="000000"/>
          <w:sz w:val="20"/>
          <w:szCs w:val="20"/>
          <w:lang w:eastAsia="fr-FR"/>
        </w:rPr>
        <w:t>Durée du contrat</w:t>
      </w:r>
    </w:p>
    <w:p w:rsidR="00300464" w:rsidRPr="00300464" w:rsidRDefault="00300464" w:rsidP="00766F49">
      <w:pPr>
        <w:numPr>
          <w:ilvl w:val="0"/>
          <w:numId w:val="8"/>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Durée déterminée de deux ans, avec possibilité de renouvellement.</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hyperlink r:id="rId9" w:history="1">
        <w:r w:rsidRPr="00300464">
          <w:rPr>
            <w:rFonts w:ascii="Arial" w:eastAsia="Times New Roman" w:hAnsi="Arial" w:cs="Arial"/>
            <w:b/>
            <w:bCs/>
            <w:color w:val="0000FF"/>
            <w:sz w:val="20"/>
            <w:szCs w:val="20"/>
            <w:u w:val="single"/>
            <w:lang w:eastAsia="fr-FR"/>
          </w:rPr>
          <w:t>Ce qu’offre l’OCDE</w:t>
        </w:r>
      </w:hyperlink>
      <w:r w:rsidRPr="00300464">
        <w:rPr>
          <w:rFonts w:ascii="Arial" w:eastAsia="Times New Roman" w:hAnsi="Arial" w:cs="Arial"/>
          <w:color w:val="000000"/>
          <w:sz w:val="20"/>
          <w:szCs w:val="20"/>
          <w:lang w:eastAsia="fr-FR"/>
        </w:rPr>
        <w:t xml:space="preserve"> </w:t>
      </w:r>
    </w:p>
    <w:p w:rsidR="00300464" w:rsidRPr="00300464" w:rsidRDefault="00300464" w:rsidP="00766F49">
      <w:pPr>
        <w:numPr>
          <w:ilvl w:val="0"/>
          <w:numId w:val="9"/>
        </w:numPr>
        <w:spacing w:before="100" w:beforeAutospacing="1" w:after="100" w:afterAutospacing="1"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Selon l’expérience, salaire mensuel de base à partir de 5 750 EUR ou 7 095 EUR, plus allocations/indemnités en fonction de la situation personnelle, exonérés d’impôt sur le revenu en France.</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Veuillez noter que le/la candidat(e) retenu(e) pourra être engagé(e) à un grade inférieur si ses qualifications et son expérience professionnelle y correspondent.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xml:space="preserve">Dans le cadre de sa politique d’égalité des chances, l’OCDE encourage les candidatures qualifiées émanant de ressortissants d’un </w:t>
      </w:r>
      <w:hyperlink r:id="rId10" w:history="1">
        <w:r w:rsidRPr="00300464">
          <w:rPr>
            <w:rFonts w:ascii="Arial" w:eastAsia="Times New Roman" w:hAnsi="Arial" w:cs="Arial"/>
            <w:color w:val="0000FF"/>
            <w:sz w:val="20"/>
            <w:szCs w:val="20"/>
            <w:u w:val="single"/>
            <w:lang w:eastAsia="fr-FR"/>
          </w:rPr>
          <w:t>pays membre de l’OCDE</w:t>
        </w:r>
      </w:hyperlink>
      <w:r w:rsidRPr="00300464">
        <w:rPr>
          <w:rFonts w:ascii="Arial" w:eastAsia="Times New Roman" w:hAnsi="Arial" w:cs="Arial"/>
          <w:color w:val="000000"/>
          <w:sz w:val="20"/>
          <w:szCs w:val="20"/>
          <w:lang w:eastAsia="fr-FR"/>
        </w:rPr>
        <w:t>, indépendamment de l’origine ethnique ou raciale, des opinions ou croyances, du sexe, de l’orientation sexuelle, de l’état de santé ou du handicap</w:t>
      </w:r>
      <w:r w:rsidRPr="00300464">
        <w:rPr>
          <w:rFonts w:ascii="Arial" w:eastAsia="Times New Roman" w:hAnsi="Arial" w:cs="Arial"/>
          <w:i/>
          <w:iCs/>
          <w:color w:val="000000"/>
          <w:sz w:val="20"/>
          <w:szCs w:val="20"/>
          <w:lang w:eastAsia="fr-FR"/>
        </w:rPr>
        <w:t>.</w:t>
      </w:r>
    </w:p>
    <w:p w:rsidR="00300464" w:rsidRPr="00300464" w:rsidRDefault="00300464" w:rsidP="00766F49">
      <w:pPr>
        <w:spacing w:after="0" w:line="240" w:lineRule="auto"/>
        <w:jc w:val="both"/>
        <w:rPr>
          <w:rFonts w:ascii="Arial" w:eastAsia="Times New Roman" w:hAnsi="Arial" w:cs="Arial"/>
          <w:color w:val="000000"/>
          <w:sz w:val="18"/>
          <w:szCs w:val="18"/>
          <w:lang w:eastAsia="fr-FR"/>
        </w:rPr>
      </w:pPr>
      <w:r w:rsidRPr="00300464">
        <w:rPr>
          <w:rFonts w:ascii="Arial" w:eastAsia="Times New Roman" w:hAnsi="Arial" w:cs="Arial"/>
          <w:color w:val="000000"/>
          <w:sz w:val="20"/>
          <w:szCs w:val="20"/>
          <w:lang w:eastAsia="fr-FR"/>
        </w:rPr>
        <w:t> </w:t>
      </w:r>
    </w:p>
    <w:p w:rsidR="00113CB6" w:rsidRDefault="00300464" w:rsidP="00766F49">
      <w:pPr>
        <w:jc w:val="both"/>
      </w:pPr>
      <w:r w:rsidRPr="00300464">
        <w:rPr>
          <w:rFonts w:ascii="Arial" w:eastAsia="Times New Roman" w:hAnsi="Arial" w:cs="Arial"/>
          <w:color w:val="000000"/>
          <w:sz w:val="20"/>
          <w:szCs w:val="20"/>
          <w:lang w:eastAsia="fr-FR"/>
        </w:rPr>
        <w:t>L’OCDE promeut en son sein une optimisation de l’emploi de ses ressources, pour améliorer son efficience et son efficacité, et le personnel est encouragé à y contribuer activement.</w:t>
      </w:r>
    </w:p>
    <w:sectPr w:rsidR="00113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A3E"/>
    <w:multiLevelType w:val="multilevel"/>
    <w:tmpl w:val="3DD6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49A5"/>
    <w:multiLevelType w:val="multilevel"/>
    <w:tmpl w:val="10FE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36CA0"/>
    <w:multiLevelType w:val="multilevel"/>
    <w:tmpl w:val="1CD8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13173"/>
    <w:multiLevelType w:val="multilevel"/>
    <w:tmpl w:val="7C7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68C3"/>
    <w:multiLevelType w:val="multilevel"/>
    <w:tmpl w:val="934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C4B1B"/>
    <w:multiLevelType w:val="multilevel"/>
    <w:tmpl w:val="01FE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67A58"/>
    <w:multiLevelType w:val="multilevel"/>
    <w:tmpl w:val="CA1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85838"/>
    <w:multiLevelType w:val="multilevel"/>
    <w:tmpl w:val="46D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B1199"/>
    <w:multiLevelType w:val="multilevel"/>
    <w:tmpl w:val="BF7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4"/>
  </w:num>
  <w:num w:numId="5">
    <w:abstractNumId w:val="3"/>
  </w:num>
  <w:num w:numId="6">
    <w:abstractNumId w:val="0"/>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55"/>
    <w:rsid w:val="00113CB6"/>
    <w:rsid w:val="00300464"/>
    <w:rsid w:val="004A21F1"/>
    <w:rsid w:val="00766F49"/>
    <w:rsid w:val="007E1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8E3"/>
  <w15:chartTrackingRefBased/>
  <w15:docId w15:val="{5B478CAC-A215-46AA-B427-60E3F4B6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2936">
      <w:bodyDiv w:val="1"/>
      <w:marLeft w:val="0"/>
      <w:marRight w:val="0"/>
      <w:marTop w:val="0"/>
      <w:marBottom w:val="0"/>
      <w:divBdr>
        <w:top w:val="none" w:sz="0" w:space="0" w:color="auto"/>
        <w:left w:val="none" w:sz="0" w:space="0" w:color="auto"/>
        <w:bottom w:val="none" w:sz="0" w:space="0" w:color="auto"/>
        <w:right w:val="none" w:sz="0" w:space="0" w:color="auto"/>
      </w:divBdr>
      <w:divsChild>
        <w:div w:id="410810312">
          <w:marLeft w:val="0"/>
          <w:marRight w:val="0"/>
          <w:marTop w:val="0"/>
          <w:marBottom w:val="0"/>
          <w:divBdr>
            <w:top w:val="none" w:sz="0" w:space="0" w:color="auto"/>
            <w:left w:val="none" w:sz="0" w:space="0" w:color="auto"/>
            <w:bottom w:val="none" w:sz="0" w:space="0" w:color="auto"/>
            <w:right w:val="none" w:sz="0" w:space="0" w:color="auto"/>
          </w:divBdr>
          <w:divsChild>
            <w:div w:id="1996954036">
              <w:marLeft w:val="0"/>
              <w:marRight w:val="0"/>
              <w:marTop w:val="0"/>
              <w:marBottom w:val="0"/>
              <w:divBdr>
                <w:top w:val="none" w:sz="0" w:space="0" w:color="auto"/>
                <w:left w:val="none" w:sz="0" w:space="0" w:color="auto"/>
                <w:bottom w:val="none" w:sz="0" w:space="0" w:color="auto"/>
                <w:right w:val="none" w:sz="0" w:space="0" w:color="auto"/>
              </w:divBdr>
              <w:divsChild>
                <w:div w:id="672803526">
                  <w:marLeft w:val="0"/>
                  <w:marRight w:val="0"/>
                  <w:marTop w:val="0"/>
                  <w:marBottom w:val="0"/>
                  <w:divBdr>
                    <w:top w:val="none" w:sz="0" w:space="0" w:color="auto"/>
                    <w:left w:val="none" w:sz="0" w:space="0" w:color="auto"/>
                    <w:bottom w:val="none" w:sz="0" w:space="0" w:color="auto"/>
                    <w:right w:val="none" w:sz="0" w:space="0" w:color="auto"/>
                  </w:divBdr>
                  <w:divsChild>
                    <w:div w:id="1339115239">
                      <w:marLeft w:val="0"/>
                      <w:marRight w:val="0"/>
                      <w:marTop w:val="0"/>
                      <w:marBottom w:val="0"/>
                      <w:divBdr>
                        <w:top w:val="none" w:sz="0" w:space="0" w:color="auto"/>
                        <w:left w:val="none" w:sz="0" w:space="0" w:color="auto"/>
                        <w:bottom w:val="none" w:sz="0" w:space="0" w:color="auto"/>
                        <w:right w:val="none" w:sz="0" w:space="0" w:color="auto"/>
                      </w:divBdr>
                      <w:divsChild>
                        <w:div w:id="1170869151">
                          <w:marLeft w:val="0"/>
                          <w:marRight w:val="0"/>
                          <w:marTop w:val="0"/>
                          <w:marBottom w:val="0"/>
                          <w:divBdr>
                            <w:top w:val="none" w:sz="0" w:space="0" w:color="auto"/>
                            <w:left w:val="none" w:sz="0" w:space="0" w:color="auto"/>
                            <w:bottom w:val="none" w:sz="0" w:space="0" w:color="auto"/>
                            <w:right w:val="none" w:sz="0" w:space="0" w:color="auto"/>
                          </w:divBdr>
                          <w:divsChild>
                            <w:div w:id="486558016">
                              <w:marLeft w:val="0"/>
                              <w:marRight w:val="0"/>
                              <w:marTop w:val="0"/>
                              <w:marBottom w:val="0"/>
                              <w:divBdr>
                                <w:top w:val="none" w:sz="0" w:space="0" w:color="auto"/>
                                <w:left w:val="none" w:sz="0" w:space="0" w:color="auto"/>
                                <w:bottom w:val="none" w:sz="0" w:space="0" w:color="auto"/>
                                <w:right w:val="none" w:sz="0" w:space="0" w:color="auto"/>
                              </w:divBdr>
                              <w:divsChild>
                                <w:div w:id="157700536">
                                  <w:marLeft w:val="0"/>
                                  <w:marRight w:val="0"/>
                                  <w:marTop w:val="0"/>
                                  <w:marBottom w:val="0"/>
                                  <w:divBdr>
                                    <w:top w:val="none" w:sz="0" w:space="0" w:color="auto"/>
                                    <w:left w:val="none" w:sz="0" w:space="0" w:color="auto"/>
                                    <w:bottom w:val="none" w:sz="0" w:space="0" w:color="auto"/>
                                    <w:right w:val="none" w:sz="0" w:space="0" w:color="auto"/>
                                  </w:divBdr>
                                  <w:divsChild>
                                    <w:div w:id="2124691620">
                                      <w:marLeft w:val="0"/>
                                      <w:marRight w:val="0"/>
                                      <w:marTop w:val="0"/>
                                      <w:marBottom w:val="0"/>
                                      <w:divBdr>
                                        <w:top w:val="none" w:sz="0" w:space="0" w:color="auto"/>
                                        <w:left w:val="none" w:sz="0" w:space="0" w:color="auto"/>
                                        <w:bottom w:val="none" w:sz="0" w:space="0" w:color="auto"/>
                                        <w:right w:val="none" w:sz="0" w:space="0" w:color="auto"/>
                                      </w:divBdr>
                                      <w:divsChild>
                                        <w:div w:id="1906524388">
                                          <w:marLeft w:val="0"/>
                                          <w:marRight w:val="0"/>
                                          <w:marTop w:val="0"/>
                                          <w:marBottom w:val="0"/>
                                          <w:divBdr>
                                            <w:top w:val="none" w:sz="0" w:space="0" w:color="auto"/>
                                            <w:left w:val="none" w:sz="0" w:space="0" w:color="auto"/>
                                            <w:bottom w:val="none" w:sz="0" w:space="0" w:color="auto"/>
                                            <w:right w:val="none" w:sz="0" w:space="0" w:color="auto"/>
                                          </w:divBdr>
                                          <w:divsChild>
                                            <w:div w:id="613173172">
                                              <w:marLeft w:val="0"/>
                                              <w:marRight w:val="0"/>
                                              <w:marTop w:val="0"/>
                                              <w:marBottom w:val="0"/>
                                              <w:divBdr>
                                                <w:top w:val="none" w:sz="0" w:space="0" w:color="auto"/>
                                                <w:left w:val="none" w:sz="0" w:space="0" w:color="auto"/>
                                                <w:bottom w:val="none" w:sz="0" w:space="0" w:color="auto"/>
                                                <w:right w:val="none" w:sz="0" w:space="0" w:color="auto"/>
                                              </w:divBdr>
                                              <w:divsChild>
                                                <w:div w:id="1073889899">
                                                  <w:marLeft w:val="0"/>
                                                  <w:marRight w:val="0"/>
                                                  <w:marTop w:val="0"/>
                                                  <w:marBottom w:val="0"/>
                                                  <w:divBdr>
                                                    <w:top w:val="none" w:sz="0" w:space="0" w:color="auto"/>
                                                    <w:left w:val="none" w:sz="0" w:space="0" w:color="auto"/>
                                                    <w:bottom w:val="none" w:sz="0" w:space="0" w:color="auto"/>
                                                    <w:right w:val="none" w:sz="0" w:space="0" w:color="auto"/>
                                                  </w:divBdr>
                                                  <w:divsChild>
                                                    <w:div w:id="1394231240">
                                                      <w:marLeft w:val="0"/>
                                                      <w:marRight w:val="0"/>
                                                      <w:marTop w:val="0"/>
                                                      <w:marBottom w:val="0"/>
                                                      <w:divBdr>
                                                        <w:top w:val="none" w:sz="0" w:space="0" w:color="auto"/>
                                                        <w:left w:val="none" w:sz="0" w:space="0" w:color="auto"/>
                                                        <w:bottom w:val="none" w:sz="0" w:space="0" w:color="auto"/>
                                                        <w:right w:val="none" w:sz="0" w:space="0" w:color="auto"/>
                                                      </w:divBdr>
                                                      <w:divsChild>
                                                        <w:div w:id="1757704411">
                                                          <w:marLeft w:val="0"/>
                                                          <w:marRight w:val="0"/>
                                                          <w:marTop w:val="0"/>
                                                          <w:marBottom w:val="0"/>
                                                          <w:divBdr>
                                                            <w:top w:val="none" w:sz="0" w:space="0" w:color="auto"/>
                                                            <w:left w:val="none" w:sz="0" w:space="0" w:color="auto"/>
                                                            <w:bottom w:val="none" w:sz="0" w:space="0" w:color="auto"/>
                                                            <w:right w:val="none" w:sz="0" w:space="0" w:color="auto"/>
                                                          </w:divBdr>
                                                        </w:div>
                                                        <w:div w:id="425616214">
                                                          <w:marLeft w:val="0"/>
                                                          <w:marRight w:val="0"/>
                                                          <w:marTop w:val="0"/>
                                                          <w:marBottom w:val="0"/>
                                                          <w:divBdr>
                                                            <w:top w:val="none" w:sz="0" w:space="0" w:color="auto"/>
                                                            <w:left w:val="none" w:sz="0" w:space="0" w:color="auto"/>
                                                            <w:bottom w:val="none" w:sz="0" w:space="0" w:color="auto"/>
                                                            <w:right w:val="none" w:sz="0" w:space="0" w:color="auto"/>
                                                          </w:divBdr>
                                                        </w:div>
                                                        <w:div w:id="47924961">
                                                          <w:marLeft w:val="0"/>
                                                          <w:marRight w:val="0"/>
                                                          <w:marTop w:val="0"/>
                                                          <w:marBottom w:val="0"/>
                                                          <w:divBdr>
                                                            <w:top w:val="none" w:sz="0" w:space="0" w:color="auto"/>
                                                            <w:left w:val="none" w:sz="0" w:space="0" w:color="auto"/>
                                                            <w:bottom w:val="none" w:sz="0" w:space="0" w:color="auto"/>
                                                            <w:right w:val="none" w:sz="0" w:space="0" w:color="auto"/>
                                                          </w:divBdr>
                                                          <w:divsChild>
                                                            <w:div w:id="2050379565">
                                                              <w:marLeft w:val="0"/>
                                                              <w:marRight w:val="0"/>
                                                              <w:marTop w:val="0"/>
                                                              <w:marBottom w:val="0"/>
                                                              <w:divBdr>
                                                                <w:top w:val="none" w:sz="0" w:space="0" w:color="auto"/>
                                                                <w:left w:val="none" w:sz="0" w:space="0" w:color="auto"/>
                                                                <w:bottom w:val="none" w:sz="0" w:space="0" w:color="auto"/>
                                                                <w:right w:val="none" w:sz="0" w:space="0" w:color="auto"/>
                                                              </w:divBdr>
                                                            </w:div>
                                                            <w:div w:id="599022575">
                                                              <w:marLeft w:val="0"/>
                                                              <w:marRight w:val="0"/>
                                                              <w:marTop w:val="0"/>
                                                              <w:marBottom w:val="0"/>
                                                              <w:divBdr>
                                                                <w:top w:val="none" w:sz="0" w:space="0" w:color="auto"/>
                                                                <w:left w:val="none" w:sz="0" w:space="0" w:color="auto"/>
                                                                <w:bottom w:val="none" w:sz="0" w:space="0" w:color="auto"/>
                                                                <w:right w:val="none" w:sz="0" w:space="0" w:color="auto"/>
                                                              </w:divBdr>
                                                            </w:div>
                                                            <w:div w:id="289022605">
                                                              <w:marLeft w:val="0"/>
                                                              <w:marRight w:val="0"/>
                                                              <w:marTop w:val="0"/>
                                                              <w:marBottom w:val="0"/>
                                                              <w:divBdr>
                                                                <w:top w:val="none" w:sz="0" w:space="0" w:color="auto"/>
                                                                <w:left w:val="none" w:sz="0" w:space="0" w:color="auto"/>
                                                                <w:bottom w:val="none" w:sz="0" w:space="0" w:color="auto"/>
                                                                <w:right w:val="none" w:sz="0" w:space="0" w:color="auto"/>
                                                              </w:divBdr>
                                                            </w:div>
                                                            <w:div w:id="2105221286">
                                                              <w:marLeft w:val="0"/>
                                                              <w:marRight w:val="0"/>
                                                              <w:marTop w:val="0"/>
                                                              <w:marBottom w:val="0"/>
                                                              <w:divBdr>
                                                                <w:top w:val="none" w:sz="0" w:space="0" w:color="auto"/>
                                                                <w:left w:val="none" w:sz="0" w:space="0" w:color="auto"/>
                                                                <w:bottom w:val="none" w:sz="0" w:space="0" w:color="auto"/>
                                                                <w:right w:val="none" w:sz="0" w:space="0" w:color="auto"/>
                                                              </w:divBdr>
                                                            </w:div>
                                                            <w:div w:id="419984872">
                                                              <w:marLeft w:val="0"/>
                                                              <w:marRight w:val="0"/>
                                                              <w:marTop w:val="0"/>
                                                              <w:marBottom w:val="0"/>
                                                              <w:divBdr>
                                                                <w:top w:val="none" w:sz="0" w:space="0" w:color="auto"/>
                                                                <w:left w:val="none" w:sz="0" w:space="0" w:color="auto"/>
                                                                <w:bottom w:val="none" w:sz="0" w:space="0" w:color="auto"/>
                                                                <w:right w:val="none" w:sz="0" w:space="0" w:color="auto"/>
                                                              </w:divBdr>
                                                            </w:div>
                                                            <w:div w:id="2084327956">
                                                              <w:marLeft w:val="0"/>
                                                              <w:marRight w:val="0"/>
                                                              <w:marTop w:val="0"/>
                                                              <w:marBottom w:val="0"/>
                                                              <w:divBdr>
                                                                <w:top w:val="none" w:sz="0" w:space="0" w:color="auto"/>
                                                                <w:left w:val="none" w:sz="0" w:space="0" w:color="auto"/>
                                                                <w:bottom w:val="none" w:sz="0" w:space="0" w:color="auto"/>
                                                                <w:right w:val="none" w:sz="0" w:space="0" w:color="auto"/>
                                                              </w:divBdr>
                                                            </w:div>
                                                            <w:div w:id="2032802216">
                                                              <w:marLeft w:val="0"/>
                                                              <w:marRight w:val="0"/>
                                                              <w:marTop w:val="0"/>
                                                              <w:marBottom w:val="0"/>
                                                              <w:divBdr>
                                                                <w:top w:val="none" w:sz="0" w:space="0" w:color="auto"/>
                                                                <w:left w:val="none" w:sz="0" w:space="0" w:color="auto"/>
                                                                <w:bottom w:val="none" w:sz="0" w:space="0" w:color="auto"/>
                                                                <w:right w:val="none" w:sz="0" w:space="0" w:color="auto"/>
                                                              </w:divBdr>
                                                            </w:div>
                                                            <w:div w:id="1510606525">
                                                              <w:marLeft w:val="0"/>
                                                              <w:marRight w:val="0"/>
                                                              <w:marTop w:val="0"/>
                                                              <w:marBottom w:val="0"/>
                                                              <w:divBdr>
                                                                <w:top w:val="none" w:sz="0" w:space="0" w:color="auto"/>
                                                                <w:left w:val="none" w:sz="0" w:space="0" w:color="auto"/>
                                                                <w:bottom w:val="none" w:sz="0" w:space="0" w:color="auto"/>
                                                                <w:right w:val="none" w:sz="0" w:space="0" w:color="auto"/>
                                                              </w:divBdr>
                                                            </w:div>
                                                            <w:div w:id="497890225">
                                                              <w:marLeft w:val="0"/>
                                                              <w:marRight w:val="0"/>
                                                              <w:marTop w:val="0"/>
                                                              <w:marBottom w:val="0"/>
                                                              <w:divBdr>
                                                                <w:top w:val="none" w:sz="0" w:space="0" w:color="auto"/>
                                                                <w:left w:val="none" w:sz="0" w:space="0" w:color="auto"/>
                                                                <w:bottom w:val="none" w:sz="0" w:space="0" w:color="auto"/>
                                                                <w:right w:val="none" w:sz="0" w:space="0" w:color="auto"/>
                                                              </w:divBdr>
                                                            </w:div>
                                                            <w:div w:id="2082865358">
                                                              <w:marLeft w:val="0"/>
                                                              <w:marRight w:val="0"/>
                                                              <w:marTop w:val="0"/>
                                                              <w:marBottom w:val="0"/>
                                                              <w:divBdr>
                                                                <w:top w:val="none" w:sz="0" w:space="0" w:color="auto"/>
                                                                <w:left w:val="none" w:sz="0" w:space="0" w:color="auto"/>
                                                                <w:bottom w:val="none" w:sz="0" w:space="0" w:color="auto"/>
                                                                <w:right w:val="none" w:sz="0" w:space="0" w:color="auto"/>
                                                              </w:divBdr>
                                                            </w:div>
                                                            <w:div w:id="1238516036">
                                                              <w:marLeft w:val="0"/>
                                                              <w:marRight w:val="0"/>
                                                              <w:marTop w:val="0"/>
                                                              <w:marBottom w:val="0"/>
                                                              <w:divBdr>
                                                                <w:top w:val="none" w:sz="0" w:space="0" w:color="auto"/>
                                                                <w:left w:val="none" w:sz="0" w:space="0" w:color="auto"/>
                                                                <w:bottom w:val="none" w:sz="0" w:space="0" w:color="auto"/>
                                                                <w:right w:val="none" w:sz="0" w:space="0" w:color="auto"/>
                                                              </w:divBdr>
                                                            </w:div>
                                                            <w:div w:id="1945379306">
                                                              <w:marLeft w:val="0"/>
                                                              <w:marRight w:val="0"/>
                                                              <w:marTop w:val="0"/>
                                                              <w:marBottom w:val="0"/>
                                                              <w:divBdr>
                                                                <w:top w:val="none" w:sz="0" w:space="0" w:color="auto"/>
                                                                <w:left w:val="none" w:sz="0" w:space="0" w:color="auto"/>
                                                                <w:bottom w:val="none" w:sz="0" w:space="0" w:color="auto"/>
                                                                <w:right w:val="none" w:sz="0" w:space="0" w:color="auto"/>
                                                              </w:divBdr>
                                                            </w:div>
                                                            <w:div w:id="1231312869">
                                                              <w:marLeft w:val="0"/>
                                                              <w:marRight w:val="0"/>
                                                              <w:marTop w:val="0"/>
                                                              <w:marBottom w:val="0"/>
                                                              <w:divBdr>
                                                                <w:top w:val="none" w:sz="0" w:space="0" w:color="auto"/>
                                                                <w:left w:val="none" w:sz="0" w:space="0" w:color="auto"/>
                                                                <w:bottom w:val="none" w:sz="0" w:space="0" w:color="auto"/>
                                                                <w:right w:val="none" w:sz="0" w:space="0" w:color="auto"/>
                                                              </w:divBdr>
                                                            </w:div>
                                                            <w:div w:id="1108937455">
                                                              <w:marLeft w:val="0"/>
                                                              <w:marRight w:val="0"/>
                                                              <w:marTop w:val="0"/>
                                                              <w:marBottom w:val="0"/>
                                                              <w:divBdr>
                                                                <w:top w:val="none" w:sz="0" w:space="0" w:color="auto"/>
                                                                <w:left w:val="none" w:sz="0" w:space="0" w:color="auto"/>
                                                                <w:bottom w:val="none" w:sz="0" w:space="0" w:color="auto"/>
                                                                <w:right w:val="none" w:sz="0" w:space="0" w:color="auto"/>
                                                              </w:divBdr>
                                                            </w:div>
                                                            <w:div w:id="233248516">
                                                              <w:marLeft w:val="0"/>
                                                              <w:marRight w:val="0"/>
                                                              <w:marTop w:val="0"/>
                                                              <w:marBottom w:val="0"/>
                                                              <w:divBdr>
                                                                <w:top w:val="none" w:sz="0" w:space="0" w:color="auto"/>
                                                                <w:left w:val="none" w:sz="0" w:space="0" w:color="auto"/>
                                                                <w:bottom w:val="none" w:sz="0" w:space="0" w:color="auto"/>
                                                                <w:right w:val="none" w:sz="0" w:space="0" w:color="auto"/>
                                                              </w:divBdr>
                                                            </w:div>
                                                            <w:div w:id="1604343723">
                                                              <w:marLeft w:val="0"/>
                                                              <w:marRight w:val="0"/>
                                                              <w:marTop w:val="0"/>
                                                              <w:marBottom w:val="0"/>
                                                              <w:divBdr>
                                                                <w:top w:val="none" w:sz="0" w:space="0" w:color="auto"/>
                                                                <w:left w:val="none" w:sz="0" w:space="0" w:color="auto"/>
                                                                <w:bottom w:val="none" w:sz="0" w:space="0" w:color="auto"/>
                                                                <w:right w:val="none" w:sz="0" w:space="0" w:color="auto"/>
                                                              </w:divBdr>
                                                            </w:div>
                                                            <w:div w:id="960041405">
                                                              <w:marLeft w:val="0"/>
                                                              <w:marRight w:val="0"/>
                                                              <w:marTop w:val="0"/>
                                                              <w:marBottom w:val="0"/>
                                                              <w:divBdr>
                                                                <w:top w:val="none" w:sz="0" w:space="0" w:color="auto"/>
                                                                <w:left w:val="none" w:sz="0" w:space="0" w:color="auto"/>
                                                                <w:bottom w:val="none" w:sz="0" w:space="0" w:color="auto"/>
                                                                <w:right w:val="none" w:sz="0" w:space="0" w:color="auto"/>
                                                              </w:divBdr>
                                                            </w:div>
                                                            <w:div w:id="135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careers/competency_framework_en.pdf" TargetMode="External"/><Relationship Id="rId3" Type="http://schemas.openxmlformats.org/officeDocument/2006/relationships/settings" Target="settings.xml"/><Relationship Id="rId7" Type="http://schemas.openxmlformats.org/officeDocument/2006/relationships/hyperlink" Target="http://www.oecd.org/fr/carrieres/cadre_de_competences_f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a.org/" TargetMode="External"/><Relationship Id="rId11" Type="http://schemas.openxmlformats.org/officeDocument/2006/relationships/fontTable" Target="fontTable.xml"/><Relationship Id="rId5" Type="http://schemas.openxmlformats.org/officeDocument/2006/relationships/hyperlink" Target="http://www.oecd.org/fr/apropos/" TargetMode="External"/><Relationship Id="rId10" Type="http://schemas.openxmlformats.org/officeDocument/2006/relationships/hyperlink" Target="http://www.oecd.org/fr/apropos/membresetpartenaires/liste-des-pays-de-l-ocde.htm" TargetMode="External"/><Relationship Id="rId4" Type="http://schemas.openxmlformats.org/officeDocument/2006/relationships/webSettings" Target="webSettings.xml"/><Relationship Id="rId9" Type="http://schemas.openxmlformats.org/officeDocument/2006/relationships/hyperlink" Target="http://www.oecd.org/fr/carrieres/cequenouspouvonsoffri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Paya, Miriam</dc:creator>
  <cp:keywords/>
  <dc:description/>
  <cp:lastModifiedBy>Gil Paya, Miriam</cp:lastModifiedBy>
  <cp:revision>3</cp:revision>
  <dcterms:created xsi:type="dcterms:W3CDTF">2018-09-10T14:35:00Z</dcterms:created>
  <dcterms:modified xsi:type="dcterms:W3CDTF">2018-09-10T14:35:00Z</dcterms:modified>
</cp:coreProperties>
</file>