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3B8FE" w14:textId="4BB87A14" w:rsidR="00D02AD8" w:rsidRDefault="001841A9" w:rsidP="00D02AD8">
      <w:pPr>
        <w:pStyle w:val="TechnicalBlock"/>
        <w:ind w:left="-1134" w:right="-1134"/>
      </w:pPr>
      <w:bookmarkStart w:id="0" w:name="DW_BM_COVERPAGE"/>
      <w:bookmarkStart w:id="1" w:name="LW_BM_COVERPAGE"/>
      <w:bookmarkStart w:id="2" w:name="_GoBack"/>
      <w:bookmarkEnd w:id="2"/>
      <w:r>
        <w:rPr>
          <w:noProof/>
          <w:lang w:bidi="ar-SA"/>
        </w:rPr>
        <w:drawing>
          <wp:inline distT="0" distB="0" distL="0" distR="0" wp14:anchorId="4E085FC3" wp14:editId="791C3F62">
            <wp:extent cx="7219950" cy="6943725"/>
            <wp:effectExtent l="0" t="0" r="0" b="9525"/>
            <wp:docPr id="1" name="Imagen 1" descr="Document Cover Page.&#10;Document Number: 9871/18 ADD 5.&#10;Subject Codes: RECH 275 COMPET 425 ATO 33 CADREFIN 82 IA 191.&#10;Heading: PROPUESTA.&#10;Originator: secretario general de la Comisión Europea, firmado por D. Jordi AYET PUIGARNAU, director.&#10;Recipient: D. Jeppe TRANHOLM-MIKKELSEN, secretario general del Consejo de la Unión Europea.&#10;Subject: DOCUMENTO DE TRABAJO DE LOS SERVICIOS DE LA COMISIÓN RESUMEN DE LA EVALUACIÓN DE IMPACTO que acompaña al documento Propuestas de REGLAMENTO DEL PARLAMENTO EUROPEO Y DEL CONSEJO por el que se crea el Programa Marco de Investigación e Innovación «Horizonte Europa» y se establecen sus normas de participación y difusión DECISIÓN DEL PARLAMENTO EUROPEO Y DEL CONSEJO que establece el Programa Específico por el que se ejecuta el Programa Marco de Investigación e Innovación «Horizonte Europa» REGLAMENTO DEL CONSEJO por el que se establece el Programa de Investigación y Formación de la Comunidad Europea de la Energía Atómica para el período 2021-2025 que complementa el Programa Marco de Investigación e Innovación «Horizonte Europa».&#10;Commission Document Number: SWD(2018) 308 final.&#10;Preceeding Document Number: Not Set.&#10;Location: Bruselas.&#10;Date: 8 de junio de 2018.&#10;Interinstitutional Files: 2018/0226 (NLE).&#10;Institutional Framework: Consejo de la Unión Europea.&#10;Language: ES.&#10;Distribution Code: PUBLIC.&#10;GUID: 5477248597515109545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ument Cover Page.&#10;Document Number: 9871/18 ADD 5.&#10;Subject Codes: RECH 275 COMPET 425 ATO 33 CADREFIN 82 IA 191.&#10;Heading: PROPUESTA.&#10;Originator: secretario general de la Comisión Europea, firmado por D. Jordi AYET PUIGARNAU, director.&#10;Recipient: D. Jeppe TRANHOLM-MIKKELSEN, secretario general del Consejo de la Unión Europea.&#10;Subject: DOCUMENTO DE TRABAJO DE LOS SERVICIOS DE LA COMISIÓN RESUMEN DE LA EVALUACIÓN DE IMPACTO que acompaña al documento Propuestas de REGLAMENTO DEL PARLAMENTO EUROPEO Y DEL CONSEJO por el que se crea el Programa Marco de Investigación e Innovación «Horizonte Europa» y se establecen sus normas de participación y difusión DECISIÓN DEL PARLAMENTO EUROPEO Y DEL CONSEJO que establece el Programa Específico por el que se ejecuta el Programa Marco de Investigación e Innovación «Horizonte Europa» REGLAMENTO DEL CONSEJO por el que se establece el Programa de Investigación y Formación de la Comunidad Europea de la Energía Atómica para el período 2021-2025 que complementa el Programa Marco de Investigación e Innovación «Horizonte Europa».&#10;Commission Document Number: SWD(2018) 308 final.&#10;Preceeding Document Number: Not Set.&#10;Location: Bruselas.&#10;Date: 8 de junio de 2018.&#10;Interinstitutional Files: 2018/0226 (NLE).&#10;Institutional Framework: Consejo de la Unión Europea.&#10;Language: ES.&#10;Distribution Code: PUBLIC.&#10;GUID: 5477248597515109545_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19950" cy="6943725"/>
                    </a:xfrm>
                    <a:prstGeom prst="rect">
                      <a:avLst/>
                    </a:prstGeom>
                    <a:noFill/>
                    <a:ln>
                      <a:noFill/>
                    </a:ln>
                  </pic:spPr>
                </pic:pic>
              </a:graphicData>
            </a:graphic>
          </wp:inline>
        </w:drawing>
      </w:r>
      <w:bookmarkEnd w:id="0"/>
    </w:p>
    <w:p w14:paraId="246CA15F" w14:textId="77777777" w:rsidR="00D02AD8" w:rsidRDefault="00D02AD8" w:rsidP="00D02AD8">
      <w:pPr>
        <w:pStyle w:val="EntText"/>
        <w:spacing w:before="480"/>
      </w:pPr>
      <w:r w:rsidRPr="00D02AD8">
        <w:t xml:space="preserve">Adjunto se remite a las Delegaciones el documento –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Pr="00D02AD8">
        <w:instrText>SWD(2018) 308 final</w:instrText>
      </w:r>
      <w:r>
        <w:instrText xml:space="preserve">" </w:instrText>
      </w:r>
      <w:r>
        <w:fldChar w:fldCharType="separate"/>
      </w:r>
      <w:r w:rsidRPr="00D02AD8">
        <w:t>SWD(2018) 308 final</w:t>
      </w:r>
      <w:r>
        <w:fldChar w:fldCharType="end"/>
      </w:r>
      <w:r w:rsidRPr="00D02AD8">
        <w:t>.</w:t>
      </w:r>
    </w:p>
    <w:p w14:paraId="76777CB8" w14:textId="77777777" w:rsidR="00D02AD8" w:rsidRDefault="00D02AD8" w:rsidP="00D02AD8">
      <w:pPr>
        <w:pStyle w:val="Lignefinal"/>
      </w:pPr>
    </w:p>
    <w:p w14:paraId="60F89C6C" w14:textId="77777777" w:rsidR="00D02AD8" w:rsidRDefault="00D02AD8" w:rsidP="00D02AD8">
      <w:pPr>
        <w:pStyle w:val="pj"/>
        <w:spacing w:before="120"/>
      </w:pPr>
      <w:r w:rsidRPr="00D02AD8">
        <w:t xml:space="preserve">Adj.: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Pr="00D02AD8">
        <w:instrText>SWD(2018) 308 final</w:instrText>
      </w:r>
      <w:r>
        <w:instrText xml:space="preserve">" </w:instrText>
      </w:r>
      <w:r>
        <w:fldChar w:fldCharType="separate"/>
      </w:r>
      <w:r w:rsidRPr="00D02AD8">
        <w:t>SWD(2018) 308 final</w:t>
      </w:r>
      <w:r>
        <w:fldChar w:fldCharType="end"/>
      </w:r>
    </w:p>
    <w:p w14:paraId="3C95C58F" w14:textId="77777777" w:rsidR="00D02AD8" w:rsidRPr="00D02AD8" w:rsidRDefault="00D02AD8" w:rsidP="00D02AD8"/>
    <w:p w14:paraId="58C8CF1F" w14:textId="77777777" w:rsidR="00D02AD8" w:rsidRDefault="00D02AD8" w:rsidP="00D02AD8">
      <w:pPr>
        <w:rPr>
          <w:noProof/>
        </w:rPr>
        <w:sectPr w:rsidR="00D02AD8" w:rsidSect="00D02AD8">
          <w:headerReference w:type="even" r:id="rId12"/>
          <w:headerReference w:type="default" r:id="rId13"/>
          <w:footerReference w:type="even" r:id="rId14"/>
          <w:footerReference w:type="default" r:id="rId15"/>
          <w:headerReference w:type="first" r:id="rId16"/>
          <w:footerReference w:type="first" r:id="rId17"/>
          <w:pgSz w:w="11906" w:h="16838"/>
          <w:pgMar w:top="624" w:right="1134" w:bottom="1134" w:left="1134" w:header="567" w:footer="567" w:gutter="0"/>
          <w:pgNumType w:start="0"/>
          <w:cols w:space="720"/>
          <w:titlePg/>
          <w:docGrid w:linePitch="360"/>
        </w:sectPr>
      </w:pPr>
    </w:p>
    <w:p w14:paraId="2ABEBFBD" w14:textId="4EB35131" w:rsidR="00F821FF" w:rsidRDefault="001841A9" w:rsidP="00E7562A">
      <w:pPr>
        <w:pStyle w:val="Pagedecouverture"/>
        <w:rPr>
          <w:noProof/>
        </w:rPr>
      </w:pPr>
      <w:r>
        <w:rPr>
          <w:noProof/>
          <w:lang w:bidi="ar-SA"/>
        </w:rPr>
        <w:lastRenderedPageBreak/>
        <w:drawing>
          <wp:inline distT="0" distB="0" distL="0" distR="0" wp14:anchorId="324E9F92" wp14:editId="08B624ED">
            <wp:extent cx="5724525" cy="6915150"/>
            <wp:effectExtent l="0" t="0" r="9525" b="0"/>
            <wp:docPr id="2" name="Imagen 2" descr="FFC24FF8-628F-449A-B4BF-DB711617A3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FC24FF8-628F-449A-B4BF-DB711617A3BC"/>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24525" cy="6915150"/>
                    </a:xfrm>
                    <a:prstGeom prst="rect">
                      <a:avLst/>
                    </a:prstGeom>
                    <a:noFill/>
                    <a:ln>
                      <a:noFill/>
                    </a:ln>
                  </pic:spPr>
                </pic:pic>
              </a:graphicData>
            </a:graphic>
          </wp:inline>
        </w:drawing>
      </w:r>
    </w:p>
    <w:bookmarkEnd w:id="1"/>
    <w:p w14:paraId="72CE8994" w14:textId="77777777" w:rsidR="00F821FF" w:rsidRDefault="00F821FF">
      <w:pPr>
        <w:rPr>
          <w:noProof/>
        </w:rPr>
        <w:sectPr w:rsidR="00F821FF" w:rsidSect="00E7562A">
          <w:headerReference w:type="even" r:id="rId19"/>
          <w:headerReference w:type="default" r:id="rId20"/>
          <w:footerReference w:type="even" r:id="rId21"/>
          <w:footerReference w:type="default" r:id="rId22"/>
          <w:headerReference w:type="first" r:id="rId23"/>
          <w:footerReference w:type="first" r:id="rId24"/>
          <w:pgSz w:w="11906" w:h="16838"/>
          <w:pgMar w:top="1134" w:right="1417" w:bottom="1134" w:left="1417" w:header="709" w:footer="709" w:gutter="0"/>
          <w:pgNumType w:start="0"/>
          <w:cols w:space="720"/>
          <w:docGrid w:linePitch="360"/>
        </w:sectPr>
      </w:pPr>
    </w:p>
    <w:p w14:paraId="7880DD63" w14:textId="77777777" w:rsidR="00F821FF" w:rsidRDefault="00E7562A">
      <w:pPr>
        <w:pStyle w:val="Ttulo1"/>
        <w:numPr>
          <w:ilvl w:val="0"/>
          <w:numId w:val="0"/>
        </w:numPr>
        <w:ind w:left="432" w:hanging="432"/>
        <w:rPr>
          <w:noProof/>
          <w:szCs w:val="24"/>
        </w:rPr>
      </w:pPr>
      <w:r>
        <w:rPr>
          <w:noProof/>
        </w:rPr>
        <w:lastRenderedPageBreak/>
        <w:t>Resumen</w:t>
      </w:r>
    </w:p>
    <w:p w14:paraId="02BA0B17"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noProof/>
          <w:sz w:val="24"/>
        </w:rPr>
        <w:t>La presente evaluación de impacto acompaña a la propuesta de la Comisión relativa al programa marco de investigación e innovación de la UE para el período 2021-2027 «Horizonte Europa», que sucederá al actual Programa, Horizonte 2020 (activo entre 2014 y 2020), y a la propuesta relativa al Programa de Investigación y Formación de la Comunidad Europea de la Energía Atómica para el período 2021-2025 (Programa Euratom).</w:t>
      </w:r>
    </w:p>
    <w:p w14:paraId="36482907"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La investigación y la innovación contribuyen a que Europa</w:t>
      </w:r>
      <w:r>
        <w:rPr>
          <w:rFonts w:ascii="Times New Roman" w:hAnsi="Times New Roman"/>
          <w:noProof/>
          <w:sz w:val="24"/>
        </w:rPr>
        <w:t xml:space="preserve"> responda a las prioridades de los ciudadanos, plasmadas en los objetivos de desarrollo sostenible y en el Acuerdo de París sobre la lucha contra el cambio climático, a fin de lograr un crecimiento sostenible y empleos de alta calidad y superar los desafíos mundiales conocidos actualmente y aquellos imprevistos. Sin embargo, actualmente Europa invierte menos en investigación e innovación que sus principales socios comerciales y, por lo tanto, corre el riesgo de verse superada irremediablemente.</w:t>
      </w:r>
    </w:p>
    <w:p w14:paraId="095AC9D1"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Las inversiones a nivel de la UE, a través de sucesivos programas marco, ha apoyado el suministro de bienes públicos con un alto valor añadido europeo.</w:t>
      </w:r>
      <w:r>
        <w:rPr>
          <w:rFonts w:ascii="Times New Roman" w:hAnsi="Times New Roman"/>
          <w:noProof/>
          <w:sz w:val="24"/>
        </w:rPr>
        <w:t xml:space="preserve"> Este valor añadido proviene de que los Programas se centran en la excelencia a través de la competencia y la cooperación en toda la UE. Los Programas marco apoyan la formación y la movilidad de investigadores, crean colaboraciones transnacionales, intersectoriales y multidisciplinarias, apalancan inversión pública y privada adicional, crean las pruebas científicas necesarias para las políticas de la UE y tienen efectos estructurantes en los sistemas nacionales de investigación e innovación. Las instituciones de la UE, los Estados miembros y las partes interesadas reconocen el impacto significativo y duradero de los Programas Marco, en particular del Programa actual. </w:t>
      </w:r>
    </w:p>
    <w:p w14:paraId="7AFCF9FD"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Horizonte Europa se basa en las pruebas y en las lecciones aprendidas de la evaluación intermedia de Horizonte 2020</w:t>
      </w:r>
      <w:r>
        <w:rPr>
          <w:rFonts w:ascii="Times New Roman" w:hAnsi="Times New Roman"/>
          <w:noProof/>
          <w:sz w:val="24"/>
        </w:rPr>
        <w:t>, así como en las recomendaciones del Grupo de Alto Nivel independiente sobre la maximización del impacto de la investigación y la innovación de la UE. El nuevo Programa constituirá una evolución y no una revolución, y se centrará en unas pocas mejoras del diseño para incrementar aún más la apertura y el impacto.</w:t>
      </w:r>
    </w:p>
    <w:p w14:paraId="560F5F69"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Los objetivos generales del programa Horizonte Europa se derivan del Tratado de Funcionamiento de la Unión Europea.</w:t>
      </w:r>
      <w:r>
        <w:rPr>
          <w:rFonts w:ascii="Times New Roman" w:hAnsi="Times New Roman"/>
          <w:noProof/>
          <w:sz w:val="24"/>
        </w:rPr>
        <w:t xml:space="preserve"> Estos serán los siguientes: fortalecer las bases científicas y tecnológicas de la Unión y fomentar su competitividad, también para su industria; cumplir las prioridades políticas estratégicas de la UE y contribuir a hacer frente a los desafíos mundiales, incluidos los objetivos de desarrollo sostenible. Para abordar los retos particulares que afronta la UE en el ámbito de la investigación y la innovación, Horizonte Europa también cuenta con objetivos específicos. Todos los objetivos se aplican en la totalidad del Programa, y todas y cada una de las partes del Programa contribuirán a la consecución de estos. </w:t>
      </w:r>
    </w:p>
    <w:p w14:paraId="26CC2CC4"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 xml:space="preserve">La evolución con respecto a Horizonte 2020 queda reflejada en la nueva estructura. </w:t>
      </w:r>
      <w:r>
        <w:rPr>
          <w:rFonts w:ascii="Times New Roman" w:hAnsi="Times New Roman"/>
          <w:noProof/>
          <w:sz w:val="24"/>
        </w:rPr>
        <w:t xml:space="preserve">Se mantendrá la estructura en tres pilares, pero estará rediseñada en aras de una mayor coherencia, tanto entre los pilares como en el seno de estos, a fin de apoyar el cumplimiento de los objetivos del Programa. </w:t>
      </w:r>
    </w:p>
    <w:p w14:paraId="01DE2B15"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El pilar 1 «Ciencia Abierta»</w:t>
      </w:r>
      <w:r>
        <w:rPr>
          <w:rFonts w:ascii="Times New Roman" w:hAnsi="Times New Roman"/>
          <w:noProof/>
          <w:sz w:val="24"/>
        </w:rPr>
        <w:t xml:space="preserve"> seguirá centrándose en la excelencia científica y los conocimientos de alta calidad para fortalecer la base científica de la UE a través del Consejo Europeo de Investigación, las Acciones Marie Skłodowska-Curie y las infraestructuras de investigación. Como pilar impulsado por los investigadores y dotado de un enfoque ascendente, seguirá otorgando un papel destacado a la comunidad científica. </w:t>
      </w:r>
    </w:p>
    <w:p w14:paraId="432769DE"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lastRenderedPageBreak/>
        <w:t>El pilar 2 «Desafíos mundiales y competitividad industrial»</w:t>
      </w:r>
      <w:r>
        <w:rPr>
          <w:rFonts w:ascii="Times New Roman" w:hAnsi="Times New Roman"/>
          <w:noProof/>
          <w:sz w:val="24"/>
        </w:rPr>
        <w:t xml:space="preserve"> abordará mejor las prioridades de las políticas de la UE y apoyará la competitividad de la industria al integrar </w:t>
      </w:r>
      <w:r>
        <w:rPr>
          <w:rFonts w:ascii="Times New Roman" w:hAnsi="Times New Roman"/>
          <w:i/>
          <w:noProof/>
          <w:sz w:val="24"/>
        </w:rPr>
        <w:t>Retos de la sociedad</w:t>
      </w:r>
      <w:r>
        <w:rPr>
          <w:rFonts w:ascii="Times New Roman" w:hAnsi="Times New Roman"/>
          <w:noProof/>
          <w:sz w:val="24"/>
        </w:rPr>
        <w:t xml:space="preserve"> y </w:t>
      </w:r>
      <w:r>
        <w:rPr>
          <w:rFonts w:ascii="Times New Roman" w:hAnsi="Times New Roman"/>
          <w:i/>
          <w:noProof/>
          <w:sz w:val="24"/>
        </w:rPr>
        <w:t>Liderazgo en las tecnologías industriales y de capacitación</w:t>
      </w:r>
      <w:r>
        <w:rPr>
          <w:rFonts w:ascii="Times New Roman" w:hAnsi="Times New Roman"/>
          <w:noProof/>
          <w:sz w:val="24"/>
        </w:rPr>
        <w:t xml:space="preserve"> de Horizonte 2020 en cinco grupos temáticos (a saber, salud; resiliencia y seguridad; ámbito digital y de la industria; clima, energía y movilidad; y recursos alimentarios y naturales). Los grupos temáticos apoyarán mejor el espectro completo de los objetivos de desarrollo sostenible y aumentarán la innovación y la investigación colaborativa en todos los sectores, disciplinas y ámbitos de actuación, reforzando la flexibilidad, la concentración y el impacto. Debido a que se centra en las políticas, el pilar se llevará a la práctica con un planteamiento descendente, a través de un proceso de planificación estratégica que garantice la participación de las partes interesadas y de la sociedad y la armonización con las actividades de los Estados miembros. El pilar dará una visibilidad adecuada al papel decisivo de la industria no solo para cumplir todos los objetivos del Programa, sino también a la hora de abordar los desafíos mundiales, entre otros medios desarrollando tecnologías facilitadoras esenciales para el futuro. </w:t>
      </w:r>
    </w:p>
    <w:p w14:paraId="5A154E0E"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noProof/>
          <w:sz w:val="24"/>
        </w:rPr>
        <w:t>El</w:t>
      </w:r>
      <w:r>
        <w:rPr>
          <w:noProof/>
        </w:rPr>
        <w:t xml:space="preserve"> </w:t>
      </w:r>
      <w:r>
        <w:rPr>
          <w:rFonts w:ascii="Times New Roman" w:hAnsi="Times New Roman"/>
          <w:b/>
          <w:noProof/>
          <w:sz w:val="24"/>
        </w:rPr>
        <w:t>pilar 3 «Innovación Abierta»</w:t>
      </w:r>
      <w:r>
        <w:rPr>
          <w:rFonts w:ascii="Times New Roman" w:hAnsi="Times New Roman"/>
          <w:noProof/>
          <w:sz w:val="24"/>
        </w:rPr>
        <w:t xml:space="preserve"> ofrecerá una ventanilla única con el Consejo Europeo de la Innovación para los innovadores con un alto potencial e intensificará la cooperación con los agentes y los ecosistemas de innovación. Estas actividades se determinarán en gran medida con un enfoque ascendente, integrando y reorganizando actividades de Horizonte 2020 como Innovación en las pymes (en particular, el instrumento para las pymes), Vía rápida a la innovación y Tecnologías futuras y emergentes. Seguirá apoyándose la innovación a lo largo de todo el Programa, no solo en este pilar centrado en la innovación. </w:t>
      </w:r>
    </w:p>
    <w:p w14:paraId="7E6048D9"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Horizonte Europa reforzará el Espacio Europeo de Investigación</w:t>
      </w:r>
      <w:r>
        <w:rPr>
          <w:rFonts w:ascii="Times New Roman" w:hAnsi="Times New Roman"/>
          <w:noProof/>
          <w:sz w:val="24"/>
        </w:rPr>
        <w:t xml:space="preserve"> de la siguiente forma: compartiendo la excelencia (ampliando las acciones de Horizonte 2020 que contribuyan a solucionar el bajo rendimiento en el ámbito de la investigación y la innovación, a saber, la creación de equipos, los hermanamientos, las cátedras del EEI, y COST); reformas y políticas de investigación e innovación, abarcando el mecanismo de apoyo a las políticas; actividades de prospectiva; y el seguimiento, la evaluación, la difusión y el aprovechamiento de los resultados del Programa Marco.</w:t>
      </w:r>
    </w:p>
    <w:p w14:paraId="4ED79DE6"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El nuevo Programa tendrá también algunas características nuevas y mejoras</w:t>
      </w:r>
      <w:r>
        <w:rPr>
          <w:rFonts w:ascii="Times New Roman" w:hAnsi="Times New Roman"/>
          <w:noProof/>
          <w:sz w:val="24"/>
        </w:rPr>
        <w:t xml:space="preserve"> de elementos existentes. Con Horizonte 2020 bien encaminado para conseguir excelencia, impacto y apertura, estos cambios permitirán que el programa sucesor consiga un impacto aún mayor (a través del Consejo Europeo de Innovación y la orientación hacia las misiones) y una mayor apertura (por medio de la intensificación de la cooperación, el refuerzo de la política de Ciencia Abierta, y un nuevo enfoque político para las asociaciones europeas). </w:t>
      </w:r>
    </w:p>
    <w:p w14:paraId="40D15E24"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noProof/>
          <w:sz w:val="24"/>
        </w:rPr>
        <w:t>El</w:t>
      </w:r>
      <w:r>
        <w:rPr>
          <w:rFonts w:ascii="Times New Roman" w:hAnsi="Times New Roman"/>
          <w:b/>
          <w:noProof/>
          <w:sz w:val="24"/>
        </w:rPr>
        <w:t xml:space="preserve"> Consejo Europeo de Innovación</w:t>
      </w:r>
      <w:r>
        <w:rPr>
          <w:rFonts w:ascii="Times New Roman" w:hAnsi="Times New Roman"/>
          <w:noProof/>
          <w:sz w:val="24"/>
        </w:rPr>
        <w:t xml:space="preserve"> contribuirá a situar a la UE a la vanguardia de la innovación revolucionaria creadora de mercados. Apoyará proyectos de innovación y creadores de mercado de alto riesgo que (aún) no generan ingresos, a fin de salvar el foso existente entre la investigación y la comercialización y ayudar a las empresas a expandirse. El apoyo personalizado a los innovadores se canalizará a través de dos instrumentos principales de financiación. El Explorador para la Investigación Avanzada proporcionará subvenciones desde la fase temprana de la tecnología (prueba del concepto, la validación de la tecnología) hasta la fase temprana comercial (demostración temprana, desarrollo de la justificación comercial y desarrollo de la estrategia). El Acelerador apoyará la continuación del desarrollo y el despliegue en el mercado de innovaciones revolucionarias creadoras de mercados, hasta una fase en la que puedan ser financiadas en condiciones comerciales habituales por los inversores (desde la demostración, los ensayos por los usuarios, la producción precomercial y más allá, incluida la expansión). Pondrá especial énfasis en la innovación generada en el seno del Explorador, aunque también financiará proyectos de otras partes del Programa, como el </w:t>
      </w:r>
      <w:r>
        <w:rPr>
          <w:rFonts w:ascii="Times New Roman" w:hAnsi="Times New Roman"/>
          <w:noProof/>
          <w:sz w:val="24"/>
        </w:rPr>
        <w:lastRenderedPageBreak/>
        <w:t>Consejo Europeo de Investigación o las comunidades de conocimiento e innovación. Entre las repercusiones esperadas del papel desempeñado por el Consejo Europeo de Innovación cabe incluir una mayor innovación que genere los nuevos mercados del futuro, un aumento de las empresas que se expanden en Europa, un mayor crecimiento entre las pymes y un aumento del espíritu empresarial y de la asunción de riesgos.</w:t>
      </w:r>
    </w:p>
    <w:p w14:paraId="3B155FE6"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Horizonte Europa verá la introducción de un conjunto limitado de «misiones» de investigación y de innovación de alta visibilidad</w:t>
      </w:r>
      <w:r>
        <w:rPr>
          <w:rFonts w:ascii="Times New Roman" w:hAnsi="Times New Roman"/>
          <w:noProof/>
          <w:sz w:val="24"/>
        </w:rPr>
        <w:t xml:space="preserve"> en el marco del pilar 2 (pero que posiblemente también orienten a los demás pilares). Estas misiones priorizarán las inversiones y establecerán orientaciones para alcanzar objetivos con relevancia social, creando así un impacto y una divulgación mayores, favoreciendo un enfoque sistémico (al pasar de una visión de un conjunto limitado de sectores a una de sistemas enteros), y poniendo en consonancia los instrumentos y las agendas de investigación e innovación en toda Europa. Las misiones también acelerarán los avances en pro del establecimiento de una solución científica, técnica o social al concentrar grandes inversiones en un objetivo específico; o bien transformarán la totalidad de un sistema social o industrial en un plazo determinado. Serán seleccionadas tras la puesta en marcha del Programa con arreglo a criterios de estrictos y serán diseñadas en colaboración con los Estados miembros, las partes interesadas y los ciudadanos. Entre las repercusiones previstas de este nuevo enfoque de misiones figura un aumento de la cooperación intersectorial e interdisciplinaria, un mayor impacto en los desafíos mundiales y las prioridades de la UE, y una reducción de la separación entre la ciencia y la innovación y la sociedad.</w:t>
      </w:r>
    </w:p>
    <w:p w14:paraId="3E0CC5B5"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noProof/>
          <w:sz w:val="24"/>
        </w:rPr>
        <w:t>El</w:t>
      </w:r>
      <w:r>
        <w:rPr>
          <w:noProof/>
        </w:rPr>
        <w:t xml:space="preserve"> </w:t>
      </w:r>
      <w:r>
        <w:rPr>
          <w:rFonts w:ascii="Times New Roman" w:hAnsi="Times New Roman"/>
          <w:b/>
          <w:noProof/>
          <w:sz w:val="24"/>
        </w:rPr>
        <w:t>refuerzo de la cooperación internacional</w:t>
      </w:r>
      <w:r>
        <w:rPr>
          <w:rFonts w:ascii="Times New Roman" w:hAnsi="Times New Roman"/>
          <w:noProof/>
          <w:sz w:val="24"/>
        </w:rPr>
        <w:t xml:space="preserve"> es indispensable para garantizar el acceso a los talentos, los conocimientos, las instalaciones y los mercados a escala mundial, para hacer frente de manera eficaz a los desafíos mundiales y para ejecutar los compromisos de ámbito mundial. El Programa Marco aumentará la cooperación y ampliará la apertura para la asociación a todos los países con capacidades científicas, tecnológicas e innovadoras excelentes, a fin de facilitar al máximo la cooperación y la financiación de proyectos conjuntos. El programa seguirá financiando entidades de países de renta media o baja. Entidades de economías industrializadas y emergentes recibirán financiación solo si poseen competencias o instalaciones esenciales. Entre las repercusiones previstas cabe citar un aumento de la excelencia en el programa y de la influencia de la UE para configurar los sistemas de investigación e innovación mundiales, así como la consecución de un mayor impacto.</w:t>
      </w:r>
    </w:p>
    <w:p w14:paraId="0B0991B7"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noProof/>
          <w:sz w:val="24"/>
        </w:rPr>
        <w:t>La</w:t>
      </w:r>
      <w:r>
        <w:rPr>
          <w:noProof/>
        </w:rPr>
        <w:t xml:space="preserve"> </w:t>
      </w:r>
      <w:r>
        <w:rPr>
          <w:rFonts w:ascii="Times New Roman" w:hAnsi="Times New Roman"/>
          <w:b/>
          <w:noProof/>
          <w:sz w:val="24"/>
        </w:rPr>
        <w:t>ciencia abierta</w:t>
      </w:r>
      <w:r>
        <w:rPr>
          <w:rFonts w:ascii="Times New Roman" w:hAnsi="Times New Roman"/>
          <w:noProof/>
          <w:sz w:val="24"/>
        </w:rPr>
        <w:t xml:space="preserve"> se convertirá en el </w:t>
      </w:r>
      <w:r>
        <w:rPr>
          <w:rFonts w:ascii="Times New Roman" w:hAnsi="Times New Roman"/>
          <w:i/>
          <w:noProof/>
          <w:sz w:val="24"/>
        </w:rPr>
        <w:t>modus operandi</w:t>
      </w:r>
      <w:r>
        <w:rPr>
          <w:rFonts w:ascii="Times New Roman" w:hAnsi="Times New Roman"/>
          <w:noProof/>
          <w:sz w:val="24"/>
        </w:rPr>
        <w:t xml:space="preserve"> del nuevo Programa: se irá más allá de la política de acceso abierto de Horizonte 2020 y se exigirá un acceso abierto inmediato a las publicaciones y los datos (con posibilidad de aplicar exclusiones voluntarias para estos últimos), así como planes de gestión de los datos de las investigaciones. El programa fomentará la proliferación de datos «FAIR» (fáciles de encontrar, accesibles, interoperables y reutilizables) y apoyará un ecosistema sostenible e innovador de comunicaciones de tipo académico. Impulsará actividades para mejorar las competencias de los investigadores en ciencia abierta y los sistemas de recompensa que promuevan este objetivo. La integridad de la investigación y la ciencia ciudadana desempeñarán un papel fundamental, al igual que el desarrollo de una nueva generación de indicadores para la evaluación de la investigación.</w:t>
      </w:r>
    </w:p>
    <w:p w14:paraId="0927CE9C"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El nuevo enfoque para las asociaciones europeas</w:t>
      </w:r>
      <w:r>
        <w:rPr>
          <w:rFonts w:ascii="Times New Roman" w:hAnsi="Times New Roman"/>
          <w:noProof/>
          <w:sz w:val="24"/>
        </w:rPr>
        <w:t xml:space="preserve"> estará más centrado en el impacto. La necesidad de establecer futuras asociaciones europeas o de renovar las existentes se identificará como parte del proceso de programación estratégica del Programa Marco. Todas las asociaciones europeas estarán abiertas a todos los tipos de partes interesadas (por ejemplo, la industria, los Estados miembros y las fundaciones filantrópicas) y tendrán un límite temporal y condiciones claras para la supresión progresiva de la financiación del Programa </w:t>
      </w:r>
      <w:r>
        <w:rPr>
          <w:rFonts w:ascii="Times New Roman" w:hAnsi="Times New Roman"/>
          <w:noProof/>
          <w:sz w:val="24"/>
        </w:rPr>
        <w:lastRenderedPageBreak/>
        <w:t>Marco. Se basarán en los principios de valor añadido de la Unión, transparencia, apertura, impacto, efecto multiplicador, compromiso financiero a largo plazo de todas las partes implicadas, flexibilidad, coherencia y complementariedad con las iniciativas de la UE y de los ámbitos local, regional, nacional e internacional; El futuro paisaje de asociaciones garantizará una coherencia óptima entre las actividades del programa marco y las asociaciones. Solamente habrá tres tipos de asociaciones europeas: i) de programación conjunta, basadas en memorandos de entendimiento o acuerdos contractuales; ii) de financiación conjunta, sobre la base de una acción de cofinanciación única y flexible; iii) institucionalizadas (tomando como base de los artículos 185 o 187 del TFUE). Mediante un enfoque basado en el ciclo de vida, el Programa Marco establecerá los criterios para la selección, la realización, el seguimiento y la eliminación progresiva de todas las asociaciones europeas.</w:t>
      </w:r>
    </w:p>
    <w:p w14:paraId="572DE1D4"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Los cambios en la estructura del Programa y su mejora facilitarán la consecución de los objetivos del Programa</w:t>
      </w:r>
      <w:r>
        <w:rPr>
          <w:rFonts w:ascii="Times New Roman" w:hAnsi="Times New Roman"/>
          <w:noProof/>
          <w:sz w:val="24"/>
        </w:rPr>
        <w:t>, haciéndolo más eficaz y contribuyendo a que genere aún más beneficios económicos y rentabilidad. Estos efectos se verán magnificados por el fortalecimiento de las sinergias y la complementariedad con otros programas de la UE, por ejemplo, mediante el sello de excelencia.</w:t>
      </w:r>
    </w:p>
    <w:p w14:paraId="163D73D6"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La obtención eficiente de resultados es esencial para cumplir la totalidad de los objetivos.</w:t>
      </w:r>
      <w:r>
        <w:rPr>
          <w:rFonts w:ascii="Times New Roman" w:hAnsi="Times New Roman"/>
          <w:noProof/>
          <w:sz w:val="24"/>
        </w:rPr>
        <w:t xml:space="preserve"> También es fundamental para conseguir un impacto y una simplificación mayores. Basándose en los logros de Horizonte 2020, la simplificación sigue siendo una tarea permanente también en el nuevo Programa. Se han realizado varias mejoras para racionalizar la obtención de resultados en favor del impacto. El Programa tendrá como objetivo conseguir una mayor simplificación en el actual sistema de reembolso de costes reales gracias a su modelo simplificado de financiación. Se recurrirá en mayor medida a la financiación de proyectos a cambio del cumplimiento de actividades (es decir, cantidades fijas únicas) y a otras formas simplificadas de financiación permitidas por el nuevo Reglamento Financiero. Se desarrollará la confianza en las auditorías en todos los programas de la UE y la aceptación de las prácticas contables habituales en materia de costes. Al objeto de aumentar la flexibilidad, el programa apoyará la confluencia de disciplinas y sectores y permitirá la asignación de fondos entre los pilares y en el seno de estos a fin de reaccionar rápidamente ante nuevas cuestiones o desafíos. Se examinará la posibilidad de seguir mejorando el proceso de presentación y evaluación de propuestas intentando reducir continuamente el plazo para la concesión y mejorando la información de respuesta suministrada a los solicitantes. El proceso y los criterios de evaluación y la participación de expertos independientes realzarán la excelencia y el impacto del Programa. En el marco del Consejo Europeo de Innovación se simplificarán los sistemas de apoyo a la innovación, mientras que la complementariedad entre las subvenciones y los instrumentos financieros podrá reforzarse a través de la financiación combinada.</w:t>
      </w:r>
    </w:p>
    <w:p w14:paraId="4E9188D8" w14:textId="77777777" w:rsidR="00F821FF" w:rsidRDefault="00E7562A">
      <w:pPr>
        <w:spacing w:after="120" w:line="240" w:lineRule="auto"/>
        <w:jc w:val="both"/>
        <w:rPr>
          <w:rFonts w:ascii="Times New Roman" w:eastAsia="Times New Roman" w:hAnsi="Times New Roman" w:cs="Times New Roman"/>
          <w:noProof/>
          <w:sz w:val="24"/>
          <w:szCs w:val="24"/>
        </w:rPr>
      </w:pPr>
      <w:r>
        <w:rPr>
          <w:rFonts w:ascii="Times New Roman" w:hAnsi="Times New Roman"/>
          <w:b/>
          <w:noProof/>
          <w:sz w:val="24"/>
        </w:rPr>
        <w:t>El impacto depende en última instancia de la difusión y del aprovechamiento de los resultados y de los datos de la investigación y la innovación</w:t>
      </w:r>
      <w:r>
        <w:rPr>
          <w:rFonts w:ascii="Times New Roman" w:hAnsi="Times New Roman"/>
          <w:noProof/>
          <w:sz w:val="24"/>
        </w:rPr>
        <w:t>, y necesita ser captado y comunicado eficazmente. Una estrategia ambiciosa y global aumentará la disponibilidad de estos datos y resultados y acelerará su asimilación a fin de aumentar el impacto global del programa. Las carteras de resultados maduros se aprovecharán en sinergia con otros programas de la UE para garantizar su asimilación a escala nacional y regional y, de este modo, maximizar el potencial europeo de innovación. Todo ello se complementará con campañas eficaces de comunicación y divulgación que creen confianza y logren la implicación de los ciudadanos.</w:t>
      </w:r>
    </w:p>
    <w:p w14:paraId="403BB7D6" w14:textId="77777777" w:rsidR="00F821FF" w:rsidRDefault="00E7562A">
      <w:pPr>
        <w:jc w:val="both"/>
        <w:rPr>
          <w:rFonts w:ascii="Times New Roman" w:hAnsi="Times New Roman" w:cs="Times New Roman"/>
          <w:noProof/>
          <w:sz w:val="24"/>
          <w:szCs w:val="24"/>
        </w:rPr>
      </w:pPr>
      <w:r>
        <w:rPr>
          <w:rFonts w:ascii="Times New Roman" w:hAnsi="Times New Roman"/>
          <w:b/>
          <w:noProof/>
          <w:sz w:val="24"/>
        </w:rPr>
        <w:t>Los avances en el cumplimiento de los objetivos del Programa serán objeto de seguimiento mediante «vías de impacto»</w:t>
      </w:r>
      <w:r>
        <w:rPr>
          <w:rFonts w:ascii="Times New Roman" w:hAnsi="Times New Roman"/>
          <w:noProof/>
          <w:sz w:val="24"/>
        </w:rPr>
        <w:t xml:space="preserve"> (relativas al impacto en los ámbitos científico, </w:t>
      </w:r>
      <w:r>
        <w:rPr>
          <w:rFonts w:ascii="Times New Roman" w:hAnsi="Times New Roman"/>
          <w:noProof/>
          <w:sz w:val="24"/>
        </w:rPr>
        <w:lastRenderedPageBreak/>
        <w:t xml:space="preserve">social y económico). Estas vías de impacto dependerán del tiempo, distinguiéndose entre el corto, el medio y el largo plazo. Los indicadores de las vías de impacto contendrán información tanto cualitativa como cuantitativa, cuya disponibilidad dependerá de la fase de ejecución del programa. Las distintas partes de los programas repercutirán en estos indicadores en distinta medida y a través de diferentes mecanismos. Los datos en que se sustentan los principales indicadores de las vías de impacto se recogerán con una gestión centralizada y de forma armonizada, de forma que se imponga a los beneficiarios una mínima carga por la comunicación, por ejemplo mediante el uso de identificadores únicos para los solicitantes y obteniendo automáticamente los datos de bases de datos externas públicas y privadas existentes. Las hipótesis de referencia, los objetivos y los indicadores de referencia se determinarán antes de la puesta en marcha del programa. Los datos sobre gestión y ejecución del Programa seguirán recogiéndose en tiempo casi real. Cada año se efectuará un análisis de los avances logrados en dimensiones clave de la gestión y la ejecución. Mediante evaluaciones intermedias y </w:t>
      </w:r>
      <w:r>
        <w:rPr>
          <w:rFonts w:ascii="Times New Roman" w:hAnsi="Times New Roman"/>
          <w:i/>
          <w:noProof/>
          <w:sz w:val="24"/>
        </w:rPr>
        <w:t>ex-post</w:t>
      </w:r>
      <w:r>
        <w:rPr>
          <w:rFonts w:ascii="Times New Roman" w:hAnsi="Times New Roman"/>
          <w:noProof/>
          <w:sz w:val="24"/>
        </w:rPr>
        <w:t xml:space="preserve"> se garantizará que los métodos sean coherentes y que la cobertura sea completa.</w:t>
      </w:r>
    </w:p>
    <w:sectPr w:rsidR="00F821FF">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134" w:left="1440" w:header="601" w:footer="61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8FA7F" w14:textId="77777777" w:rsidR="00F821FF" w:rsidRDefault="00E7562A">
      <w:pPr>
        <w:spacing w:after="0" w:line="240" w:lineRule="auto"/>
      </w:pPr>
      <w:r>
        <w:separator/>
      </w:r>
    </w:p>
  </w:endnote>
  <w:endnote w:type="continuationSeparator" w:id="0">
    <w:p w14:paraId="0E728460" w14:textId="77777777" w:rsidR="00F821FF" w:rsidRDefault="00E75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C Square Sans Pro">
    <w:charset w:val="00"/>
    <w:family w:val="swiss"/>
    <w:pitch w:val="variable"/>
    <w:sig w:usb0="A00002B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2E4D" w14:textId="77777777" w:rsidR="00E7562A" w:rsidRPr="00D02AD8" w:rsidRDefault="00E7562A" w:rsidP="00D02AD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02AD8" w:rsidRPr="00D94637" w14:paraId="669E24AF" w14:textId="77777777" w:rsidTr="00D02AD8">
      <w:trPr>
        <w:jc w:val="center"/>
      </w:trPr>
      <w:tc>
        <w:tcPr>
          <w:tcW w:w="5000" w:type="pct"/>
          <w:gridSpan w:val="7"/>
          <w:shd w:val="clear" w:color="auto" w:fill="auto"/>
          <w:tcMar>
            <w:top w:w="57" w:type="dxa"/>
          </w:tcMar>
        </w:tcPr>
        <w:p w14:paraId="17A31660" w14:textId="77777777" w:rsidR="00D02AD8" w:rsidRPr="00D94637" w:rsidRDefault="00D02AD8" w:rsidP="00D94637">
          <w:pPr>
            <w:pStyle w:val="FooterText"/>
            <w:pBdr>
              <w:top w:val="single" w:sz="4" w:space="1" w:color="auto"/>
            </w:pBdr>
            <w:spacing w:before="200"/>
            <w:rPr>
              <w:sz w:val="2"/>
              <w:szCs w:val="2"/>
            </w:rPr>
          </w:pPr>
          <w:bookmarkStart w:id="3" w:name="FOOTER_STANDARD"/>
        </w:p>
      </w:tc>
    </w:tr>
    <w:tr w:rsidR="00D02AD8" w:rsidRPr="00B310DC" w14:paraId="4AED9DAC" w14:textId="77777777" w:rsidTr="00D02AD8">
      <w:trPr>
        <w:jc w:val="center"/>
      </w:trPr>
      <w:tc>
        <w:tcPr>
          <w:tcW w:w="2500" w:type="pct"/>
          <w:gridSpan w:val="2"/>
          <w:shd w:val="clear" w:color="auto" w:fill="auto"/>
          <w:tcMar>
            <w:top w:w="0" w:type="dxa"/>
          </w:tcMar>
        </w:tcPr>
        <w:p w14:paraId="5BF2362C" w14:textId="77777777" w:rsidR="00D02AD8" w:rsidRPr="00AD7BF2" w:rsidRDefault="00D02AD8" w:rsidP="004F54B2">
          <w:pPr>
            <w:pStyle w:val="FooterText"/>
          </w:pPr>
          <w:r>
            <w:t>9871/18</w:t>
          </w:r>
          <w:r w:rsidRPr="002511D8">
            <w:t xml:space="preserve"> </w:t>
          </w:r>
          <w:r>
            <w:t>ADD 5</w:t>
          </w:r>
        </w:p>
      </w:tc>
      <w:tc>
        <w:tcPr>
          <w:tcW w:w="625" w:type="pct"/>
          <w:shd w:val="clear" w:color="auto" w:fill="auto"/>
          <w:tcMar>
            <w:top w:w="0" w:type="dxa"/>
          </w:tcMar>
        </w:tcPr>
        <w:p w14:paraId="761525B3" w14:textId="77777777" w:rsidR="00D02AD8" w:rsidRPr="00AD7BF2" w:rsidRDefault="00D02AD8" w:rsidP="00D94637">
          <w:pPr>
            <w:pStyle w:val="FooterText"/>
            <w:jc w:val="center"/>
          </w:pPr>
        </w:p>
      </w:tc>
      <w:tc>
        <w:tcPr>
          <w:tcW w:w="1286" w:type="pct"/>
          <w:gridSpan w:val="3"/>
          <w:shd w:val="clear" w:color="auto" w:fill="auto"/>
          <w:tcMar>
            <w:top w:w="0" w:type="dxa"/>
          </w:tcMar>
        </w:tcPr>
        <w:p w14:paraId="24543D90" w14:textId="77777777" w:rsidR="00D02AD8" w:rsidRPr="002511D8" w:rsidRDefault="00D02AD8" w:rsidP="00D94637">
          <w:pPr>
            <w:pStyle w:val="FooterText"/>
            <w:jc w:val="center"/>
          </w:pPr>
          <w:r>
            <w:t>mjs</w:t>
          </w:r>
        </w:p>
      </w:tc>
      <w:tc>
        <w:tcPr>
          <w:tcW w:w="589" w:type="pct"/>
          <w:shd w:val="clear" w:color="auto" w:fill="auto"/>
          <w:tcMar>
            <w:top w:w="0" w:type="dxa"/>
          </w:tcMar>
        </w:tcPr>
        <w:p w14:paraId="4ECA88C4" w14:textId="77777777" w:rsidR="00D02AD8" w:rsidRPr="00B310DC" w:rsidRDefault="00D02AD8" w:rsidP="00D02AD8">
          <w:pPr>
            <w:pStyle w:val="FooterText"/>
            <w:jc w:val="right"/>
          </w:pPr>
          <w:r>
            <w:fldChar w:fldCharType="begin"/>
          </w:r>
          <w:r>
            <w:instrText xml:space="preserve"> PAGE  \* MERGEFORMAT </w:instrText>
          </w:r>
          <w:r>
            <w:fldChar w:fldCharType="separate"/>
          </w:r>
          <w:r w:rsidR="00A226B3">
            <w:rPr>
              <w:noProof/>
            </w:rPr>
            <w:t>0</w:t>
          </w:r>
          <w:r>
            <w:fldChar w:fldCharType="end"/>
          </w:r>
        </w:p>
      </w:tc>
    </w:tr>
    <w:tr w:rsidR="00D02AD8" w:rsidRPr="00D94637" w14:paraId="441E5D66" w14:textId="77777777" w:rsidTr="00D02AD8">
      <w:trPr>
        <w:jc w:val="center"/>
      </w:trPr>
      <w:tc>
        <w:tcPr>
          <w:tcW w:w="1774" w:type="pct"/>
          <w:shd w:val="clear" w:color="auto" w:fill="auto"/>
        </w:tcPr>
        <w:p w14:paraId="18C69A7E" w14:textId="77777777" w:rsidR="00D02AD8" w:rsidRPr="00AD7BF2" w:rsidRDefault="00D02AD8" w:rsidP="00D94637">
          <w:pPr>
            <w:pStyle w:val="FooterText"/>
            <w:spacing w:before="40"/>
          </w:pPr>
        </w:p>
      </w:tc>
      <w:tc>
        <w:tcPr>
          <w:tcW w:w="1455" w:type="pct"/>
          <w:gridSpan w:val="3"/>
          <w:shd w:val="clear" w:color="auto" w:fill="auto"/>
        </w:tcPr>
        <w:p w14:paraId="1621806F" w14:textId="77777777" w:rsidR="00D02AD8" w:rsidRPr="00AD7BF2" w:rsidRDefault="00D02AD8" w:rsidP="00D204D6">
          <w:pPr>
            <w:pStyle w:val="FooterText"/>
            <w:spacing w:before="40"/>
            <w:jc w:val="center"/>
          </w:pPr>
          <w:r>
            <w:t>DG G 3C</w:t>
          </w:r>
        </w:p>
      </w:tc>
      <w:tc>
        <w:tcPr>
          <w:tcW w:w="742" w:type="pct"/>
          <w:shd w:val="clear" w:color="auto" w:fill="auto"/>
        </w:tcPr>
        <w:p w14:paraId="1E48DFB1" w14:textId="77777777" w:rsidR="00D02AD8" w:rsidRPr="00D94637" w:rsidRDefault="00D02AD8" w:rsidP="002F0099">
          <w:pPr>
            <w:pStyle w:val="FooterText"/>
            <w:jc w:val="center"/>
            <w:rPr>
              <w:b/>
              <w:position w:val="-4"/>
              <w:sz w:val="36"/>
            </w:rPr>
          </w:pPr>
        </w:p>
      </w:tc>
      <w:tc>
        <w:tcPr>
          <w:tcW w:w="1029" w:type="pct"/>
          <w:gridSpan w:val="2"/>
          <w:shd w:val="clear" w:color="auto" w:fill="auto"/>
        </w:tcPr>
        <w:p w14:paraId="6CBA5A12" w14:textId="77777777" w:rsidR="00D02AD8" w:rsidRPr="00D94637" w:rsidRDefault="00D02AD8" w:rsidP="00D94637">
          <w:pPr>
            <w:pStyle w:val="FooterText"/>
            <w:jc w:val="right"/>
            <w:rPr>
              <w:sz w:val="16"/>
            </w:rPr>
          </w:pPr>
          <w:r>
            <w:rPr>
              <w:b/>
              <w:position w:val="-4"/>
              <w:sz w:val="36"/>
            </w:rPr>
            <w:t>ES</w:t>
          </w:r>
        </w:p>
      </w:tc>
    </w:tr>
    <w:bookmarkEnd w:id="3"/>
  </w:tbl>
  <w:p w14:paraId="5BF1EB71" w14:textId="77777777" w:rsidR="00E7562A" w:rsidRPr="00D02AD8" w:rsidRDefault="00E7562A" w:rsidP="00D02AD8">
    <w:pPr>
      <w:pStyle w:val="FooterCouncil"/>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D02AD8" w:rsidRPr="00D94637" w14:paraId="5C165C76" w14:textId="77777777" w:rsidTr="00D02AD8">
      <w:trPr>
        <w:jc w:val="center"/>
      </w:trPr>
      <w:tc>
        <w:tcPr>
          <w:tcW w:w="5000" w:type="pct"/>
          <w:gridSpan w:val="7"/>
          <w:shd w:val="clear" w:color="auto" w:fill="auto"/>
          <w:tcMar>
            <w:top w:w="57" w:type="dxa"/>
          </w:tcMar>
        </w:tcPr>
        <w:p w14:paraId="461CDB50" w14:textId="77777777" w:rsidR="00D02AD8" w:rsidRPr="00D94637" w:rsidRDefault="00D02AD8" w:rsidP="00D94637">
          <w:pPr>
            <w:pStyle w:val="FooterText"/>
            <w:pBdr>
              <w:top w:val="single" w:sz="4" w:space="1" w:color="auto"/>
            </w:pBdr>
            <w:spacing w:before="200"/>
            <w:rPr>
              <w:sz w:val="2"/>
              <w:szCs w:val="2"/>
            </w:rPr>
          </w:pPr>
        </w:p>
      </w:tc>
    </w:tr>
    <w:tr w:rsidR="00D02AD8" w:rsidRPr="00B310DC" w14:paraId="58A0C164" w14:textId="77777777" w:rsidTr="00D02AD8">
      <w:trPr>
        <w:jc w:val="center"/>
      </w:trPr>
      <w:tc>
        <w:tcPr>
          <w:tcW w:w="2500" w:type="pct"/>
          <w:gridSpan w:val="2"/>
          <w:shd w:val="clear" w:color="auto" w:fill="auto"/>
          <w:tcMar>
            <w:top w:w="0" w:type="dxa"/>
          </w:tcMar>
        </w:tcPr>
        <w:p w14:paraId="60E5F0E2" w14:textId="77777777" w:rsidR="00D02AD8" w:rsidRPr="00AD7BF2" w:rsidRDefault="00D02AD8" w:rsidP="004F54B2">
          <w:pPr>
            <w:pStyle w:val="FooterText"/>
          </w:pPr>
          <w:r>
            <w:t>9871/18</w:t>
          </w:r>
          <w:r w:rsidRPr="002511D8">
            <w:t xml:space="preserve"> </w:t>
          </w:r>
          <w:r>
            <w:t>ADD 5</w:t>
          </w:r>
        </w:p>
      </w:tc>
      <w:tc>
        <w:tcPr>
          <w:tcW w:w="625" w:type="pct"/>
          <w:shd w:val="clear" w:color="auto" w:fill="auto"/>
          <w:tcMar>
            <w:top w:w="0" w:type="dxa"/>
          </w:tcMar>
        </w:tcPr>
        <w:p w14:paraId="7056FC05" w14:textId="77777777" w:rsidR="00D02AD8" w:rsidRPr="00AD7BF2" w:rsidRDefault="00D02AD8" w:rsidP="00D94637">
          <w:pPr>
            <w:pStyle w:val="FooterText"/>
            <w:jc w:val="center"/>
          </w:pPr>
        </w:p>
      </w:tc>
      <w:tc>
        <w:tcPr>
          <w:tcW w:w="1286" w:type="pct"/>
          <w:gridSpan w:val="3"/>
          <w:shd w:val="clear" w:color="auto" w:fill="auto"/>
          <w:tcMar>
            <w:top w:w="0" w:type="dxa"/>
          </w:tcMar>
        </w:tcPr>
        <w:p w14:paraId="540F3790" w14:textId="77777777" w:rsidR="00D02AD8" w:rsidRPr="002511D8" w:rsidRDefault="00D02AD8" w:rsidP="00D94637">
          <w:pPr>
            <w:pStyle w:val="FooterText"/>
            <w:jc w:val="center"/>
          </w:pPr>
          <w:r>
            <w:t>mjs</w:t>
          </w:r>
        </w:p>
      </w:tc>
      <w:tc>
        <w:tcPr>
          <w:tcW w:w="589" w:type="pct"/>
          <w:shd w:val="clear" w:color="auto" w:fill="auto"/>
          <w:tcMar>
            <w:top w:w="0" w:type="dxa"/>
          </w:tcMar>
        </w:tcPr>
        <w:p w14:paraId="66D370F1" w14:textId="77777777" w:rsidR="00D02AD8" w:rsidRPr="00B310DC" w:rsidRDefault="00D02AD8" w:rsidP="00D94637">
          <w:pPr>
            <w:pStyle w:val="FooterText"/>
            <w:jc w:val="right"/>
          </w:pPr>
        </w:p>
      </w:tc>
    </w:tr>
    <w:tr w:rsidR="00D02AD8" w:rsidRPr="00D94637" w14:paraId="31990D1E" w14:textId="77777777" w:rsidTr="00D02AD8">
      <w:trPr>
        <w:jc w:val="center"/>
      </w:trPr>
      <w:tc>
        <w:tcPr>
          <w:tcW w:w="1774" w:type="pct"/>
          <w:shd w:val="clear" w:color="auto" w:fill="auto"/>
        </w:tcPr>
        <w:p w14:paraId="2A27EC20" w14:textId="77777777" w:rsidR="00D02AD8" w:rsidRPr="00AD7BF2" w:rsidRDefault="00D02AD8" w:rsidP="00D94637">
          <w:pPr>
            <w:pStyle w:val="FooterText"/>
            <w:spacing w:before="40"/>
          </w:pPr>
        </w:p>
      </w:tc>
      <w:tc>
        <w:tcPr>
          <w:tcW w:w="1455" w:type="pct"/>
          <w:gridSpan w:val="3"/>
          <w:shd w:val="clear" w:color="auto" w:fill="auto"/>
        </w:tcPr>
        <w:p w14:paraId="589A5673" w14:textId="77777777" w:rsidR="00D02AD8" w:rsidRPr="00AD7BF2" w:rsidRDefault="00D02AD8" w:rsidP="00D204D6">
          <w:pPr>
            <w:pStyle w:val="FooterText"/>
            <w:spacing w:before="40"/>
            <w:jc w:val="center"/>
          </w:pPr>
          <w:r>
            <w:t>DG G 3C</w:t>
          </w:r>
        </w:p>
      </w:tc>
      <w:tc>
        <w:tcPr>
          <w:tcW w:w="742" w:type="pct"/>
          <w:shd w:val="clear" w:color="auto" w:fill="auto"/>
        </w:tcPr>
        <w:p w14:paraId="33F356EA" w14:textId="77777777" w:rsidR="00D02AD8" w:rsidRPr="00D94637" w:rsidRDefault="00D02AD8" w:rsidP="002F0099">
          <w:pPr>
            <w:pStyle w:val="FooterText"/>
            <w:jc w:val="center"/>
            <w:rPr>
              <w:b/>
              <w:position w:val="-4"/>
              <w:sz w:val="36"/>
            </w:rPr>
          </w:pPr>
        </w:p>
      </w:tc>
      <w:tc>
        <w:tcPr>
          <w:tcW w:w="1029" w:type="pct"/>
          <w:gridSpan w:val="2"/>
          <w:shd w:val="clear" w:color="auto" w:fill="auto"/>
        </w:tcPr>
        <w:p w14:paraId="195A2062" w14:textId="77777777" w:rsidR="00D02AD8" w:rsidRPr="00D94637" w:rsidRDefault="00D02AD8" w:rsidP="00D94637">
          <w:pPr>
            <w:pStyle w:val="FooterText"/>
            <w:jc w:val="right"/>
            <w:rPr>
              <w:sz w:val="16"/>
            </w:rPr>
          </w:pPr>
          <w:r>
            <w:rPr>
              <w:b/>
              <w:position w:val="-4"/>
              <w:sz w:val="36"/>
            </w:rPr>
            <w:t>ES</w:t>
          </w:r>
        </w:p>
      </w:tc>
    </w:tr>
  </w:tbl>
  <w:p w14:paraId="5799169B" w14:textId="77777777" w:rsidR="00E7562A" w:rsidRPr="00D02AD8" w:rsidRDefault="00E7562A" w:rsidP="00D02AD8">
    <w:pPr>
      <w:pStyle w:val="FooterCouncil"/>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51DBE" w14:textId="77777777" w:rsidR="00D02AD8" w:rsidRPr="00E7562A" w:rsidRDefault="00D02AD8" w:rsidP="00E7562A">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1BD25" w14:textId="77777777" w:rsidR="00D02AD8" w:rsidRPr="00E7562A" w:rsidRDefault="00D02AD8" w:rsidP="00E7562A">
    <w:pPr>
      <w:pStyle w:val="FooterCoverPage"/>
      <w:rPr>
        <w:rFonts w:ascii="Arial" w:hAnsi="Arial" w:cs="Arial"/>
        <w:b/>
        <w:sz w:val="48"/>
      </w:rPr>
    </w:pPr>
    <w:r w:rsidRPr="00E7562A">
      <w:rPr>
        <w:rFonts w:ascii="Arial" w:hAnsi="Arial" w:cs="Arial"/>
        <w:b/>
        <w:sz w:val="48"/>
      </w:rPr>
      <w:t>ES</w:t>
    </w:r>
    <w:r w:rsidRPr="00E7562A">
      <w:rPr>
        <w:rFonts w:ascii="Arial" w:hAnsi="Arial" w:cs="Arial"/>
        <w:b/>
        <w:sz w:val="48"/>
      </w:rPr>
      <w:tab/>
    </w:r>
    <w:r w:rsidRPr="00E7562A">
      <w:rPr>
        <w:rFonts w:ascii="Arial" w:hAnsi="Arial" w:cs="Arial"/>
        <w:b/>
        <w:sz w:val="48"/>
      </w:rPr>
      <w:tab/>
    </w:r>
    <w:r w:rsidRPr="00E7562A">
      <w:tab/>
    </w:r>
    <w:r w:rsidRPr="00E7562A">
      <w:rPr>
        <w:rFonts w:ascii="Arial" w:hAnsi="Arial" w:cs="Arial"/>
        <w:b/>
        <w:sz w:val="48"/>
      </w:rPr>
      <w:t>ES</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5754B" w14:textId="77777777" w:rsidR="00D02AD8" w:rsidRPr="00E7562A" w:rsidRDefault="00D02AD8" w:rsidP="00E7562A">
    <w:pPr>
      <w:pStyle w:val="FooterCoverPage"/>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7B80A" w14:textId="77777777" w:rsidR="00F821FF" w:rsidRDefault="00F821FF">
    <w:pPr>
      <w:pStyle w:val="Piedepgina"/>
    </w:pPr>
  </w:p>
  <w:p w14:paraId="1FFC422F" w14:textId="77777777" w:rsidR="00F821FF" w:rsidRDefault="00F821FF"/>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0560748"/>
      <w:docPartObj>
        <w:docPartGallery w:val="Page Numbers (Bottom of Page)"/>
        <w:docPartUnique/>
      </w:docPartObj>
    </w:sdtPr>
    <w:sdtEndPr>
      <w:rPr>
        <w:noProof/>
      </w:rPr>
    </w:sdtEndPr>
    <w:sdtContent>
      <w:p w14:paraId="78FAF77E" w14:textId="77777777" w:rsidR="00F821FF" w:rsidRDefault="00E7562A">
        <w:pPr>
          <w:pStyle w:val="Piedepgina"/>
          <w:jc w:val="center"/>
        </w:pPr>
        <w:r>
          <w:fldChar w:fldCharType="begin"/>
        </w:r>
        <w:r>
          <w:instrText xml:space="preserve"> PAGE   \* MERGEFORMAT </w:instrText>
        </w:r>
        <w:r>
          <w:fldChar w:fldCharType="separate"/>
        </w:r>
        <w:r w:rsidR="001841A9">
          <w:rPr>
            <w:noProof/>
          </w:rPr>
          <w:t>5</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545451"/>
      <w:docPartObj>
        <w:docPartGallery w:val="Page Numbers (Bottom of Page)"/>
        <w:docPartUnique/>
      </w:docPartObj>
    </w:sdtPr>
    <w:sdtEndPr>
      <w:rPr>
        <w:noProof/>
      </w:rPr>
    </w:sdtEndPr>
    <w:sdtContent>
      <w:p w14:paraId="78DCF965" w14:textId="77777777" w:rsidR="00F821FF" w:rsidRDefault="00E7562A">
        <w:pPr>
          <w:pStyle w:val="Piedepgina"/>
          <w:jc w:val="center"/>
        </w:pPr>
        <w:r>
          <w:fldChar w:fldCharType="begin"/>
        </w:r>
        <w:r>
          <w:instrText xml:space="preserve"> PAGE   \* MERGEFORMAT </w:instrText>
        </w:r>
        <w:r>
          <w:fldChar w:fldCharType="separate"/>
        </w:r>
        <w:r w:rsidR="001841A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A220F" w14:textId="77777777" w:rsidR="00F821FF" w:rsidRDefault="00E7562A">
      <w:pPr>
        <w:spacing w:after="0" w:line="240" w:lineRule="auto"/>
      </w:pPr>
      <w:r>
        <w:separator/>
      </w:r>
    </w:p>
  </w:footnote>
  <w:footnote w:type="continuationSeparator" w:id="0">
    <w:p w14:paraId="18649076" w14:textId="77777777" w:rsidR="00F821FF" w:rsidRDefault="00E756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300EB" w14:textId="77777777" w:rsidR="00E7562A" w:rsidRPr="00D02AD8" w:rsidRDefault="00E7562A" w:rsidP="00D02AD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AA567" w14:textId="77777777" w:rsidR="00E7562A" w:rsidRPr="00D02AD8" w:rsidRDefault="00D02AD8" w:rsidP="00D02AD8">
    <w:pPr>
      <w:pStyle w:val="HeaderCouncilLarge"/>
    </w:pPr>
    <w:r>
      <w: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35956" w14:textId="77777777" w:rsidR="00E7562A" w:rsidRPr="00D02AD8" w:rsidRDefault="00D02AD8" w:rsidP="00D02AD8">
    <w:pPr>
      <w:pStyle w:val="HeaderCouncil"/>
    </w:pPr>
    <w:r>
      <w:t>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FE62A" w14:textId="77777777" w:rsidR="00D02AD8" w:rsidRPr="00E7562A" w:rsidRDefault="00D02AD8" w:rsidP="00E7562A">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83FC" w14:textId="77777777" w:rsidR="00D02AD8" w:rsidRPr="00E7562A" w:rsidRDefault="00D02AD8" w:rsidP="00E7562A">
    <w:pPr>
      <w:pStyle w:val="HeaderCoverPag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391C2" w14:textId="77777777" w:rsidR="00D02AD8" w:rsidRPr="00E7562A" w:rsidRDefault="00D02AD8" w:rsidP="00E7562A">
    <w:pPr>
      <w:pStyle w:val="HeaderCoverPag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0DE76" w14:textId="77777777" w:rsidR="00F821FF" w:rsidRDefault="00F821FF">
    <w:pPr>
      <w:pStyle w:val="Encabezado"/>
    </w:pPr>
  </w:p>
  <w:p w14:paraId="1FB31396" w14:textId="77777777" w:rsidR="00F821FF" w:rsidRDefault="00F821FF"/>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91D90" w14:textId="77777777" w:rsidR="00F821FF" w:rsidRDefault="00F821FF"/>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BFCD8" w14:textId="77777777" w:rsidR="00F821FF" w:rsidRDefault="00F821F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E7A64A6A"/>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1D967AC0"/>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14E24C82"/>
    <w:multiLevelType w:val="multilevel"/>
    <w:tmpl w:val="769A8EEE"/>
    <w:styleLink w:val="appendix"/>
    <w:lvl w:ilvl="0">
      <w:start w:val="1"/>
      <w:numFmt w:val="decimal"/>
      <w:pStyle w:val="AppendixH1"/>
      <w:lvlText w:val="%1 "/>
      <w:lvlJc w:val="left"/>
      <w:pPr>
        <w:ind w:left="454" w:hanging="454"/>
      </w:pPr>
      <w:rPr>
        <w:rFonts w:ascii="Times New Roman" w:hAnsi="Times New Roman" w:hint="default"/>
        <w:b/>
        <w:sz w:val="24"/>
      </w:rPr>
    </w:lvl>
    <w:lvl w:ilvl="1">
      <w:start w:val="1"/>
      <w:numFmt w:val="decimal"/>
      <w:pStyle w:val="AppendixH2"/>
      <w:lvlText w:val="%1.%2"/>
      <w:lvlJc w:val="left"/>
      <w:pPr>
        <w:ind w:left="454" w:hanging="646"/>
      </w:pPr>
      <w:rPr>
        <w:rFonts w:ascii="Times New Roman" w:hAnsi="Times New Roman" w:hint="default"/>
        <w:b/>
        <w:sz w:val="24"/>
      </w:rPr>
    </w:lvl>
    <w:lvl w:ilvl="2">
      <w:start w:val="1"/>
      <w:numFmt w:val="decimal"/>
      <w:pStyle w:val="AppendixH3"/>
      <w:lvlText w:val="%1.%2.%3"/>
      <w:lvlJc w:val="left"/>
      <w:pPr>
        <w:ind w:left="454" w:hanging="454"/>
      </w:pPr>
      <w:rPr>
        <w:rFonts w:ascii="Times New Roman" w:hAnsi="Times New Roman" w:hint="default"/>
        <w:i/>
        <w:sz w:val="24"/>
      </w:rPr>
    </w:lvl>
    <w:lvl w:ilvl="3">
      <w:start w:val="1"/>
      <w:numFmt w:val="decimal"/>
      <w:lvlText w:val="(%4)"/>
      <w:lvlJc w:val="left"/>
      <w:pPr>
        <w:ind w:left="1608" w:hanging="360"/>
      </w:pPr>
      <w:rPr>
        <w:rFonts w:hint="default"/>
      </w:rPr>
    </w:lvl>
    <w:lvl w:ilvl="4">
      <w:start w:val="1"/>
      <w:numFmt w:val="lowerLetter"/>
      <w:lvlText w:val="(%5)"/>
      <w:lvlJc w:val="left"/>
      <w:pPr>
        <w:ind w:left="1968" w:hanging="360"/>
      </w:pPr>
      <w:rPr>
        <w:rFonts w:hint="default"/>
      </w:rPr>
    </w:lvl>
    <w:lvl w:ilvl="5">
      <w:start w:val="1"/>
      <w:numFmt w:val="lowerRoman"/>
      <w:lvlText w:val="(%6)"/>
      <w:lvlJc w:val="left"/>
      <w:pPr>
        <w:ind w:left="2328" w:hanging="360"/>
      </w:pPr>
      <w:rPr>
        <w:rFonts w:hint="default"/>
      </w:rPr>
    </w:lvl>
    <w:lvl w:ilvl="6">
      <w:start w:val="1"/>
      <w:numFmt w:val="decimal"/>
      <w:lvlText w:val="%7."/>
      <w:lvlJc w:val="left"/>
      <w:pPr>
        <w:ind w:left="2688" w:hanging="360"/>
      </w:pPr>
      <w:rPr>
        <w:rFonts w:hint="default"/>
      </w:rPr>
    </w:lvl>
    <w:lvl w:ilvl="7">
      <w:start w:val="1"/>
      <w:numFmt w:val="lowerLetter"/>
      <w:lvlText w:val="%8."/>
      <w:lvlJc w:val="left"/>
      <w:pPr>
        <w:ind w:left="3048" w:hanging="360"/>
      </w:pPr>
      <w:rPr>
        <w:rFonts w:hint="default"/>
      </w:rPr>
    </w:lvl>
    <w:lvl w:ilvl="8">
      <w:start w:val="1"/>
      <w:numFmt w:val="lowerRoman"/>
      <w:lvlText w:val="%9."/>
      <w:lvlJc w:val="left"/>
      <w:pPr>
        <w:ind w:left="3408" w:hanging="360"/>
      </w:pPr>
      <w:rPr>
        <w:rFonts w:hint="default"/>
      </w:rPr>
    </w:lvl>
  </w:abstractNum>
  <w:abstractNum w:abstractNumId="3" w15:restartNumberingAfterBreak="0">
    <w:nsid w:val="17460AA1"/>
    <w:multiLevelType w:val="multilevel"/>
    <w:tmpl w:val="9752C518"/>
    <w:lvl w:ilvl="0">
      <w:start w:val="1"/>
      <w:numFmt w:val="decimal"/>
      <w:pStyle w:val="Ttulo1"/>
      <w:lvlText w:val="%1"/>
      <w:lvlJc w:val="left"/>
      <w:pPr>
        <w:ind w:left="432" w:hanging="432"/>
      </w:pPr>
    </w:lvl>
    <w:lvl w:ilvl="1">
      <w:start w:val="1"/>
      <w:numFmt w:val="decimal"/>
      <w:pStyle w:val="Ttulo2"/>
      <w:lvlText w:val="%1.%2"/>
      <w:lvlJc w:val="left"/>
      <w:pPr>
        <w:ind w:left="576" w:hanging="576"/>
      </w:pPr>
      <w:rPr>
        <w:b/>
        <w:i w:val="0"/>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num w:numId="1">
    <w:abstractNumId w:val="4"/>
  </w:num>
  <w:num w:numId="2">
    <w:abstractNumId w:val="2"/>
    <w:lvlOverride w:ilvl="0">
      <w:lvl w:ilvl="0">
        <w:start w:val="1"/>
        <w:numFmt w:val="decimal"/>
        <w:pStyle w:val="AppendixH1"/>
        <w:lvlText w:val="%1 "/>
        <w:lvlJc w:val="left"/>
        <w:pPr>
          <w:ind w:left="454" w:hanging="45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AppendixH2"/>
        <w:lvlText w:val="%1.%2"/>
        <w:lvlJc w:val="left"/>
        <w:pPr>
          <w:ind w:left="454" w:hanging="646"/>
        </w:pPr>
        <w:rPr>
          <w:rFonts w:ascii="Times New Roman" w:hAnsi="Times New Roman" w:hint="default"/>
          <w:b/>
          <w:sz w:val="24"/>
        </w:rPr>
      </w:lvl>
    </w:lvlOverride>
    <w:lvlOverride w:ilvl="2">
      <w:lvl w:ilvl="2">
        <w:start w:val="1"/>
        <w:numFmt w:val="decimal"/>
        <w:pStyle w:val="AppendixH3"/>
        <w:lvlText w:val="%1.%2.%3"/>
        <w:lvlJc w:val="left"/>
        <w:pPr>
          <w:ind w:left="454" w:hanging="454"/>
        </w:pPr>
        <w:rPr>
          <w:rFonts w:ascii="Times New Roman" w:hAnsi="Times New Roman" w:hint="default"/>
          <w:i/>
          <w:sz w:val="24"/>
        </w:rPr>
      </w:lvl>
    </w:lvlOverride>
    <w:lvlOverride w:ilvl="3">
      <w:lvl w:ilvl="3">
        <w:start w:val="1"/>
        <w:numFmt w:val="decimal"/>
        <w:lvlText w:val="(%4)"/>
        <w:lvlJc w:val="left"/>
        <w:pPr>
          <w:ind w:left="1608" w:hanging="360"/>
        </w:pPr>
        <w:rPr>
          <w:rFonts w:hint="default"/>
        </w:rPr>
      </w:lvl>
    </w:lvlOverride>
    <w:lvlOverride w:ilvl="4">
      <w:lvl w:ilvl="4">
        <w:start w:val="1"/>
        <w:numFmt w:val="lowerLetter"/>
        <w:lvlText w:val="(%5)"/>
        <w:lvlJc w:val="left"/>
        <w:pPr>
          <w:ind w:left="1968" w:hanging="360"/>
        </w:pPr>
        <w:rPr>
          <w:rFonts w:hint="default"/>
        </w:rPr>
      </w:lvl>
    </w:lvlOverride>
    <w:lvlOverride w:ilvl="5">
      <w:lvl w:ilvl="5">
        <w:start w:val="1"/>
        <w:numFmt w:val="lowerRoman"/>
        <w:lvlText w:val="(%6)"/>
        <w:lvlJc w:val="left"/>
        <w:pPr>
          <w:ind w:left="2328" w:hanging="360"/>
        </w:pPr>
        <w:rPr>
          <w:rFonts w:hint="default"/>
        </w:rPr>
      </w:lvl>
    </w:lvlOverride>
    <w:lvlOverride w:ilvl="6">
      <w:lvl w:ilvl="6">
        <w:start w:val="1"/>
        <w:numFmt w:val="decimal"/>
        <w:lvlText w:val="%7."/>
        <w:lvlJc w:val="left"/>
        <w:pPr>
          <w:ind w:left="2688" w:hanging="360"/>
        </w:pPr>
        <w:rPr>
          <w:rFonts w:hint="default"/>
        </w:rPr>
      </w:lvl>
    </w:lvlOverride>
    <w:lvlOverride w:ilvl="7">
      <w:lvl w:ilvl="7">
        <w:start w:val="1"/>
        <w:numFmt w:val="lowerLetter"/>
        <w:lvlText w:val="%8."/>
        <w:lvlJc w:val="left"/>
        <w:pPr>
          <w:ind w:left="3048" w:hanging="360"/>
        </w:pPr>
        <w:rPr>
          <w:rFonts w:hint="default"/>
        </w:rPr>
      </w:lvl>
    </w:lvlOverride>
    <w:lvlOverride w:ilvl="8">
      <w:lvl w:ilvl="8">
        <w:start w:val="1"/>
        <w:numFmt w:val="lowerRoman"/>
        <w:lvlText w:val="%9."/>
        <w:lvlJc w:val="left"/>
        <w:pPr>
          <w:ind w:left="3408" w:hanging="360"/>
        </w:pPr>
        <w:rPr>
          <w:rFonts w:hint="default"/>
        </w:rPr>
      </w:lvl>
    </w:lvlOverride>
  </w:num>
  <w:num w:numId="3">
    <w:abstractNumId w:val="0"/>
  </w:num>
  <w:num w:numId="4">
    <w:abstractNumId w:val="3"/>
  </w:num>
  <w:num w:numId="5">
    <w:abstractNumId w:val="1"/>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uncil" w:val="true"/>
    <w:docVar w:name="CoverPageOnWordDoc" w:val="true"/>
    <w:docVar w:name="DocStatus" w:val="Green"/>
    <w:docVar w:name="DocuWriteMetaData" w:val="&lt;metadataset docuwriteversion=&quot;4.1.22&quot; technicalblockguid=&quot;5477248597515109545&quot;&gt;_x000d__x000a_  &lt;metadata key=&quot;md_DocumentLanguages&quot;&gt;_x000d__x000a_    &lt;basicdatatypelist&gt;_x000d__x000a_      &lt;language key=&quot;ES&quot; text=&quot;ES&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UniqueHeading&quot;&gt;_x000d__x000a_    &lt;basicdatatype&gt;_x000d__x000a_      &lt;heading key=&quot;uh_65&quot; text=&quot;PROPUESTA&quot; /&gt;_x000d__x000a_    &lt;/basicdatatype&gt;_x000d__x000a_  &lt;/metadata&gt;_x000d__x000a_  &lt;metadata key=&quot;md_HeadingText&quot;&gt;_x000d__x000a_    &lt;headingtext text=&quot;PROPUESTA&quot;&gt;_x000d__x000a_      &lt;formattedtext&gt;_x000d__x000a_        &lt;xaml text=&quot;PROPUESTA&quot;&gt;&amp;lt;FlowDocument xmlns=&quot;http://schemas.microsoft.com/winfx/2006/xaml/presentation&quot;&amp;gt;&amp;lt;Paragraph&amp;gt;PROPUESTA&amp;lt;/Paragraph&amp;gt;&amp;lt;/FlowDocument&amp;gt;&lt;/xaml&gt;_x000d__x000a_      &lt;/formattedtext&gt;_x000d__x000a_    &lt;/headingtext&gt;_x000d__x000a_  &lt;/metadata&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Consejo de la Unión Europea&quot; institution=&quot;instfr_institution&quot; acronym=&quot;instfr_acronym&quot; /&gt;_x000d__x000a_    &lt;/basicdatatype&gt;_x000d__x000a_  &lt;/metadata&gt;_x000d__x000a_  &lt;metadata key=&quot;md_DraftNote&quot; /&gt;_x000d__x000a_  &lt;metadata key=&quot;md_DocumentLocation&quot;&gt;_x000d__x000a_    &lt;basicdatatype&gt;_x000d__x000a_      &lt;location key=&quot;loc_01&quot; text=&quot;Bruselas&quot; /&gt;_x000d__x000a_    &lt;/basicdatatype&gt;_x000d__x000a_  &lt;/metadata&gt;_x000d__x000a_  &lt;metadata key=&quot;md_DocumentDate&quot;&gt;_x000d__x000a_    &lt;text&gt;2018-06-08&lt;/text&gt;_x000d__x000a_  &lt;/metadata&gt;_x000d__x000a_  &lt;metadata key=&quot;md_Prefix&quot;&gt;_x000d__x000a_    &lt;text&gt;&lt;/text&gt;_x000d__x000a_  &lt;/metadata&gt;_x000d__x000a_  &lt;metadata key=&quot;md_DocumentNumber&quot;&gt;_x000d__x000a_    &lt;text&gt;9871&lt;/text&gt;_x000d__x000a_  &lt;/metadata&gt;_x000d__x000a_  &lt;metadata key=&quot;md_YearDocumentNumber&quot;&gt;_x000d__x000a_    &lt;text&gt;2018&lt;/text&gt;_x000d__x000a_  &lt;/metadata&gt;_x000d__x000a_  &lt;metadata key=&quot;md_Suffixes&quot;&gt;_x000d__x000a_    &lt;text&gt;ADD 5&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RECH 275&lt;/text&gt;_x000d__x000a_      &lt;text&gt;COMPET 425&lt;/text&gt;_x000d__x000a_      &lt;text&gt;ATO 33&lt;/text&gt;_x000d__x000a_      &lt;text&gt;CADREFIN 82&lt;/text&gt;_x000d__x000a_      &lt;text&gt;IA 191&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gt;_x000d__x000a_      &lt;text&gt;2018/0226 (NLE)&lt;/text&gt;_x000d__x000a_    &lt;/textlist&gt;_x000d__x000a_  &lt;/metadata&gt;_x000d__x000a_  &lt;metadata key=&quot;md_AdditionalReferences&quot; /&gt;_x000d__x000a_  &lt;metadata key=&quot;md_LEXNumber&quot; /&gt;_x000d__x000a_  &lt;metadata key=&quot;md_SousEmbargo&quot;&gt;_x000d__x000a_    &lt;text&gt;&lt;/text&gt;_x000d__x000a_  &lt;/metadata&gt;_x000d__x000a_  &lt;metadata key=&quot;md_DraftVersion&quot;&gt;_x000d__x000a_    &lt;text&gt;&lt;/text&gt;_x000d__x000a_  &lt;/metadata&gt;_x000d__x000a_  &lt;metadata key=&quot;md_Originator&quot;&gt;_x000d__x000a_    &lt;basicdatatype&gt;_x000d__x000a_      &lt;originator key=&quot;or_01&quot; text=&quot;secretario general de la Comisión Europea, firmado por D. Jordi AYET PUIGARNAU, director&quot; /&gt;_x000d__x000a_    &lt;/basicdatatype&gt;_x000d__x000a_  &lt;/metadata&gt;_x000d__x000a_  &lt;metadata key=&quot;md_Recipient&quot;&gt;_x000d__x000a_    &lt;basicdatatype&gt;_x000d__x000a_      &lt;recipient key=&quot;re_02&quot; text=&quot;D. Jeppe TRANHOLM-MIKKELSEN, secretario general del Consejo de la Unión Europea&quot; /&gt;_x000d__x000a_    &lt;/basicdatatype&gt;_x000d__x000a_  &lt;/metadata&gt;_x000d__x000a_  &lt;metadata key=&quot;md_DateOfReceipt&quot;&gt;_x000d__x000a_    &lt;text&gt;2018-06-07&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SWD(2018) 308 final&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DateFormatOr&quot;&gt;_x000d__x000a_    &lt;text&gt;&lt;/text&gt;_x000d__x000a_  &lt;/metadata&gt;_x000d__x000a_  &lt;metadata key=&quot;md_MeetingInformation&quot; /&gt;_x000d__x000a_  &lt;metadata key=&quot;md_Item&quot; /&gt;_x000d__x000a_  &lt;metadata key=&quot;md_Subject&quot;&gt;_x000d__x000a_    &lt;xaml text=&quot;DOCUMENTO DE TRABAJO DE LOS SERVICIOS DE LA COMISIÓN RESUMEN DE LA EVALUACIÓN DE IMPACTO que acompaña al documento Propuestas de REGLAMENTO DEL PARLAMENTO EUROPEO Y DEL CONSEJO por el que se crea el Programa Marco de Investigación e Innovación «Horizonte Europa» y se establecen sus normas de participación y difusión DECISIÓN DEL PARLAMENTO EUROPEO Y DEL CONSEJO que establece el Programa Específico por el que se ejecuta el Programa Marco de Investigación e Innovación «Horizonte Europa» REGLAMENTO DEL CONSEJO por el que se establece el Programa de Investigación y Formación de la Comunidad Europea de la Energía Atómica para el período 2021-2025 que complementa el Programa Marco de Investigación e Innovación «Horizonte Europa»&quot;&gt;&amp;lt;FlowDocument FontFamily=&quot;Arial Unicode MS&quot; FontSize=&quot;12&quot; LineHeight=&quot;6&quot; PageWidth=&quot;329&quot; PagePadding=&quot;0,0,0,0&quot; AllowDrop=&quot;False&quot; xmlns=&quot;http://schemas.microsoft.com/winfx/2006/xaml/presentation&quot;&amp;gt;&amp;lt;Paragraph&amp;gt;DOCUMENTO DE TRABAJO DE LOS SERVICIOS DE LA COMISIÓN RESUMEN DE LA EVALUACIÓN DE IMPACTO que acompaña al documento Propuestas de REGLAMENTO DEL PARLAMENTO EUROPEO Y DEL CONSEJO por el que se crea el Programa Marco de Investigación e Innovación «Horizonte Europa» y se establecen sus normas de participación y difusión DECISIÓN DEL PARLAMENTO EUROPEO Y DEL CONSEJO que establece el Programa Específico por el que se ejecuta el Programa Marco de Investigación e Innovación «Horizonte Europa» REGLAMENTO DEL CONSEJO por el que se establece el Programa de Investigación y Formación de la Comunidad Europea de la Energía Atómica para el período 2021-2025 que complementa el Programa Marco de Investigación e Innovación «Horizonte Europa»&amp;lt;/Paragraph&amp;gt;&amp;lt;/FlowDocument&amp;gt;&lt;/xaml&gt;_x000d__x000a_  &lt;/metadata&gt;_x000d__x000a_  &lt;metadata key=&quot;md_SubjectFootnote&quot; /&gt;_x000d__x000a_  &lt;metadata key=&quot;md_DG&quot;&gt;_x000d__x000a_    &lt;text&gt;DG G 3C&lt;/text&gt;_x000d__x000a_  &lt;/metadata&gt;_x000d__x000a_  &lt;metadata key=&quot;md_Initials&quot;&gt;_x000d__x000a_    &lt;text&gt;mjs&lt;/text&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2018&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2018&lt;/text&gt;_x000d__x000a_  &lt;/metadata&gt;_x000d__x000a_  &lt;metadata key=&quot;md_Rectif_Source2_Suffixes&quot;&gt;_x000d__x000a_    &lt;text&gt;&lt;/text&gt;_x000d__x000a_  &lt;/metadata&gt;_x000d__x000a_  &lt;metadata key=&quot;md_CoverPageDocWithCouncilFooter&quot;&gt;_x000d__x000a_    &lt;text&gt;false&lt;/text&gt;_x000d__x000a_  &lt;/metadata&gt;_x000d__x000a_  &lt;metadata key=&quot;md_SourceDocLanguage&quot;&gt;_x000d__x000a_    &lt;text&gt;EN&lt;/text&gt;_x000d__x000a_  &lt;/metadata&gt;_x000d__x000a_  &lt;metadata key=&quot;md_SourceDocType&quot;&gt;_x000d__x000a_    &lt;text&gt;DOCUMENTO DE TRABAJO DE LOS SERVICIOS DE LA COMISIÓN_x000d__x000a__x000d__x000a_RESUMEN DE LA EVALUACIÓN DE IMPACTO_x000d__x000a_&lt;/text&gt;_x000d__x000a_  &lt;/metadata&gt;_x000d__x000a_  &lt;metadata key=&quot;md_SourceDocTitle&quot;&gt;_x000d__x000a_    &lt;text&gt;que acompaña al documento _x000d__x000a_Propuestas de _x000d__x000a_REGLAMENTO DEL PARLAMENTO EUROPEO Y DEL CONSEJO por el que se crea el Programa Marco de Investigación e Innovación «Horizonte Europa» y se establecen sus normas de participación y difusión_x000d__x000a__x000d__x000a_DECISIÓN DEL PARLAMENTO EUROPEO Y DEL CONSEJO que establece el Programa Específico por el que se ejecuta el Programa Marco de Investigación e Innovación «Horizonte Europa»_x000d__x000a__x000d__x000a_REGLAMENTO DEL CONSEJO por el que se establece el Programa de Investigación y Formación de la Comunidad Europea de la Energía Atómica para el período 2021-2025 que complementa el Programa Marco de Investigación e Innovación «Horizonte Europa»&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NB4&quot; /&gt;_x000d__x000a_  &lt;metadata key=&quot;md_Meetings&quot; /&gt;_x000d__x000a_  &lt;metadata key=&quot;md_VisualRepresentation&quot;&gt;_x000d__x000a_    &lt;basicdatatype&gt;_x000d__x000a_      &lt;originator key=&quot;visrep_02&quot; /&gt;_x000d__x000a_    &lt;/basicdatatype&gt;_x000d__x000a_  &lt;/metadata&gt;_x000d__x000a_  &lt;metadata key=&quot;md_LetterData&quot; /&gt;_x000d__x000a_  &lt;metadata key=&quot;md_InstFrSubWordmark&quot;&gt;_x000d__x000a_    &lt;xaml text=&quot;&quot;&gt;&amp;lt;FlowDocument FontFamily=&quot;Arial Unicode MS&quot; FontSize=&quot;12&quot; AllowDrop=&quot;False&quot; xmlns=&quot;http://schemas.microsoft.com/winfx/2006/xaml/presentation&quot; /&amp;gt;&lt;/xaml&gt;_x000d__x000a_  &lt;/metadata&gt;_x000d__x000a_  &lt;metadata key=&quot;md_WorkflowLinkStatus&quot;&gt;_x000d__x000a_    &lt;text&gt;NotLinked&lt;/text&gt;_x000d__x000a_  &lt;/metadata&gt;_x000d__x000a_  &lt;metadata key=&quot;md_Caveat&quot;&gt;_x000d__x000a_    &lt;text&gt;&lt;/text&gt;_x000d__x000a_  &lt;/metadata&gt;_x000d__x000a_&lt;/metadataset&gt;"/>
    <w:docVar w:name="LW_ACCOMPAGNANT.CP" w:val="que acompaña al documento"/>
    <w:docVar w:name="LW_CORRIGENDUM" w:val="&lt;UNUSED&gt;"/>
    <w:docVar w:name="LW_COVERPAGE_EXISTS" w:val="True"/>
    <w:docVar w:name="LW_COVERPAGE_GUID" w:val="FFC24FF8-628F-449A-B4BF-DB711617A3BC"/>
    <w:docVar w:name="LW_COVERPAGE_TYPE" w:val="1"/>
    <w:docVar w:name="LW_CROSSREFERENCE" w:val="{COM(2018) 435 final}_x000d__x000a_{COM(2018) 436 final}_x000a_{COM(2018) 437 final}_x000a_{SEC(2018) 291 final}_x000d__x000a_{SWD(2018) 307 final}_x000d__x000a_{SWD(2018) 309 final}"/>
    <w:docVar w:name="LW_DocType" w:val="NORMAL"/>
    <w:docVar w:name="LW_EMISSION" w:val="7.6.2018"/>
    <w:docVar w:name="LW_EMISSION_ISODATE" w:val="2018-06-07"/>
    <w:docVar w:name="LW_EMISSION_LOCATION" w:val="BRX"/>
    <w:docVar w:name="LW_EMISSION_PREFIX" w:val="Bruselas,"/>
    <w:docVar w:name="LW_EMISSION_SUFFIX" w:val="&lt;EMPTY&gt;"/>
    <w:docVar w:name="LW_ID_DOCTYPE_NONLW" w:val="CP-027"/>
    <w:docVar w:name="LW_LANGUE" w:val="ES"/>
    <w:docVar w:name="LW_LEVEL_OF_SENSITIVITY" w:val="Standard treatment"/>
    <w:docVar w:name="LW_NOM.INST" w:val="COMISIÓN EUROPEA"/>
    <w:docVar w:name="LW_NOM.INST_JOINTDOC" w:val="&lt;EMPTY&gt;"/>
    <w:docVar w:name="LW_OBJETACTEPRINCIPAL.CP" w:val="REGLAMENTO DEL PARLAMENTO EUROPEO Y DEL CONSEJO por el que se crea el Programa Marco de Investigación e Innovación «Horizonte Europa» y se establecen sus normas de participación y difusión_x000b__x000b_DECISIÓN DEL PARLAMENTO EUROPEO Y DEL CONSEJO que establece el Programa Específico por el que se ejecuta el Programa Marco de Investigación e Innovación «Horizonte Europa»_x000b__x000b_REGLAMENTO DEL CONSEJO por el que se establece el Programa de Investigación y Formación de la Comunidad Europea de la Energía Atómica para el período 2021-2025 que complementa el Programa Marco de Investigación e Innovación «Horizonte Europa»"/>
    <w:docVar w:name="LW_PART_NBR" w:val="1"/>
    <w:docVar w:name="LW_PART_NBR_TOTAL" w:val="1"/>
    <w:docVar w:name="LW_REF.INST.NEW" w:val="SWD"/>
    <w:docVar w:name="LW_REF.INST.NEW_ADOPTED" w:val="final"/>
    <w:docVar w:name="LW_REF.INST.NEW_TEXT" w:val="(2018) 308"/>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 xsi:nil=&quot;true&quot; /&gt;_x000d__x000a_  &lt;limited xsi:nil=&quot;true&quot; /&gt;_x000d__x000a_  &lt;detached xsi:nil=&quot;true&quot; /&gt;_x000d__x000a_  &lt;declassify xsi:nil=&quot;true&quot; /&gt;_x000d__x000a_  &lt;headerTexts xsi:nil=&quot;true&quot; /&gt;_x000d__x000a_  &lt;footerTexts xsi:nil=&quot;true&quot; /&gt;_x000d__x000a_  &lt;footnote xsi:nil=&quot;true&quot; /&gt;_x000d__x000a_  &lt;isRestricted&gt;false&lt;/isRestricted&gt;_x000d__x000a_&lt;/SensitivityLevel&gt;"/>
    <w:docVar w:name="LW_SUPERTITRE" w:val="&lt;UNUSED&gt;"/>
    <w:docVar w:name="LW_TITRE.OBJ.CP" w:val="&lt;UNUSED&gt;"/>
    <w:docVar w:name="LW_TYPE.DOC.CP" w:val="DOCUMENTO DE TRABAJO DE LOS SERVICIOS DE LA COMISIÓN_x000b__x000b_RESUMEN DE LA EVALUACIÓN DE IMPACTO_x000b_"/>
    <w:docVar w:name="LW_TYPEACTEPRINCIPAL.CP" w:val="Propuestas de"/>
  </w:docVars>
  <w:rsids>
    <w:rsidRoot w:val="00F821FF"/>
    <w:rsid w:val="001841A9"/>
    <w:rsid w:val="00A226B3"/>
    <w:rsid w:val="00D02AD8"/>
    <w:rsid w:val="00E36589"/>
    <w:rsid w:val="00E7562A"/>
    <w:rsid w:val="00F821FF"/>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DB0B923"/>
  <w15:docId w15:val="{24E81C7E-EE86-4942-8394-914F8A636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s-ES" w:bidi="es-E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Text1"/>
    <w:link w:val="Ttulo1Car"/>
    <w:qFormat/>
    <w:pPr>
      <w:keepNext/>
      <w:numPr>
        <w:numId w:val="4"/>
      </w:numPr>
      <w:spacing w:before="240" w:after="240" w:line="240" w:lineRule="auto"/>
      <w:jc w:val="both"/>
      <w:outlineLvl w:val="0"/>
    </w:pPr>
    <w:rPr>
      <w:rFonts w:ascii="Times New Roman" w:eastAsia="Times New Roman" w:hAnsi="Times New Roman" w:cs="Times New Roman"/>
      <w:b/>
      <w:smallCaps/>
      <w:sz w:val="24"/>
      <w:szCs w:val="20"/>
    </w:rPr>
  </w:style>
  <w:style w:type="paragraph" w:styleId="Ttulo2">
    <w:name w:val="heading 2"/>
    <w:basedOn w:val="Normal"/>
    <w:next w:val="Text2"/>
    <w:link w:val="Ttulo2Car"/>
    <w:qFormat/>
    <w:pPr>
      <w:keepNext/>
      <w:numPr>
        <w:ilvl w:val="1"/>
        <w:numId w:val="4"/>
      </w:numPr>
      <w:spacing w:after="240" w:line="240" w:lineRule="auto"/>
      <w:jc w:val="both"/>
      <w:outlineLvl w:val="1"/>
    </w:pPr>
    <w:rPr>
      <w:rFonts w:ascii="Times New Roman" w:eastAsia="Times New Roman" w:hAnsi="Times New Roman" w:cs="Times New Roman"/>
      <w:b/>
      <w:sz w:val="24"/>
      <w:szCs w:val="20"/>
    </w:rPr>
  </w:style>
  <w:style w:type="paragraph" w:styleId="Ttulo3">
    <w:name w:val="heading 3"/>
    <w:basedOn w:val="Normal"/>
    <w:next w:val="Normal"/>
    <w:link w:val="Ttulo3Car"/>
    <w:qFormat/>
    <w:pPr>
      <w:keepNext/>
      <w:numPr>
        <w:ilvl w:val="2"/>
        <w:numId w:val="4"/>
      </w:numPr>
      <w:spacing w:before="120" w:after="120" w:line="240" w:lineRule="auto"/>
      <w:jc w:val="both"/>
      <w:outlineLvl w:val="2"/>
    </w:pPr>
    <w:rPr>
      <w:rFonts w:ascii="Times New Roman" w:eastAsia="Times New Roman" w:hAnsi="Times New Roman" w:cs="Times New Roman"/>
      <w:b/>
      <w:i/>
      <w:sz w:val="24"/>
      <w:szCs w:val="20"/>
    </w:rPr>
  </w:style>
  <w:style w:type="paragraph" w:styleId="Ttulo4">
    <w:name w:val="heading 4"/>
    <w:basedOn w:val="Normal"/>
    <w:next w:val="Normal"/>
    <w:link w:val="Ttulo4Car"/>
    <w:qFormat/>
    <w:pPr>
      <w:keepNext/>
      <w:numPr>
        <w:ilvl w:val="3"/>
        <w:numId w:val="4"/>
      </w:numPr>
      <w:spacing w:after="240" w:line="240" w:lineRule="auto"/>
      <w:jc w:val="both"/>
      <w:outlineLvl w:val="3"/>
    </w:pPr>
    <w:rPr>
      <w:rFonts w:ascii="Times New Roman" w:eastAsia="Times New Roman" w:hAnsi="Times New Roman" w:cs="Times New Roman"/>
      <w:sz w:val="24"/>
      <w:szCs w:val="20"/>
    </w:rPr>
  </w:style>
  <w:style w:type="paragraph" w:styleId="Ttulo5">
    <w:name w:val="heading 5"/>
    <w:basedOn w:val="Normal"/>
    <w:next w:val="Normal"/>
    <w:link w:val="Ttulo5Car"/>
    <w:uiPriority w:val="9"/>
    <w:semiHidden/>
    <w:unhideWhenUsed/>
    <w:qFormat/>
    <w:pPr>
      <w:keepNext/>
      <w:keepLines/>
      <w:numPr>
        <w:ilvl w:val="4"/>
        <w:numId w:val="4"/>
      </w:numPr>
      <w:spacing w:before="200" w:after="0" w:line="240" w:lineRule="auto"/>
      <w:jc w:val="both"/>
      <w:outlineLvl w:val="4"/>
    </w:pPr>
    <w:rPr>
      <w:rFonts w:asciiTheme="majorHAnsi" w:eastAsiaTheme="majorEastAsia" w:hAnsiTheme="majorHAnsi" w:cstheme="majorBidi"/>
      <w:color w:val="243F60" w:themeColor="accent1" w:themeShade="7F"/>
      <w:sz w:val="24"/>
      <w:szCs w:val="20"/>
    </w:rPr>
  </w:style>
  <w:style w:type="paragraph" w:styleId="Ttulo6">
    <w:name w:val="heading 6"/>
    <w:basedOn w:val="Normal"/>
    <w:next w:val="Normal"/>
    <w:link w:val="Ttulo6Car"/>
    <w:uiPriority w:val="9"/>
    <w:semiHidden/>
    <w:unhideWhenUsed/>
    <w:qFormat/>
    <w:pPr>
      <w:keepNext/>
      <w:keepLines/>
      <w:numPr>
        <w:ilvl w:val="5"/>
        <w:numId w:val="4"/>
      </w:numPr>
      <w:spacing w:before="200" w:after="0" w:line="240" w:lineRule="auto"/>
      <w:jc w:val="both"/>
      <w:outlineLvl w:val="5"/>
    </w:pPr>
    <w:rPr>
      <w:rFonts w:asciiTheme="majorHAnsi" w:eastAsiaTheme="majorEastAsia" w:hAnsiTheme="majorHAnsi" w:cstheme="majorBidi"/>
      <w:i/>
      <w:iCs/>
      <w:color w:val="243F60" w:themeColor="accent1" w:themeShade="7F"/>
      <w:sz w:val="24"/>
      <w:szCs w:val="20"/>
    </w:rPr>
  </w:style>
  <w:style w:type="paragraph" w:styleId="Ttulo7">
    <w:name w:val="heading 7"/>
    <w:basedOn w:val="Normal"/>
    <w:next w:val="Normal"/>
    <w:link w:val="Ttulo7Car"/>
    <w:uiPriority w:val="9"/>
    <w:semiHidden/>
    <w:unhideWhenUsed/>
    <w:qFormat/>
    <w:pPr>
      <w:keepNext/>
      <w:keepLines/>
      <w:numPr>
        <w:ilvl w:val="6"/>
        <w:numId w:val="4"/>
      </w:numPr>
      <w:spacing w:before="200" w:after="0" w:line="240" w:lineRule="auto"/>
      <w:jc w:val="both"/>
      <w:outlineLvl w:val="6"/>
    </w:pPr>
    <w:rPr>
      <w:rFonts w:asciiTheme="majorHAnsi" w:eastAsiaTheme="majorEastAsia" w:hAnsiTheme="majorHAnsi" w:cstheme="majorBidi"/>
      <w:i/>
      <w:iCs/>
      <w:color w:val="404040" w:themeColor="text1" w:themeTint="BF"/>
      <w:sz w:val="24"/>
      <w:szCs w:val="20"/>
    </w:rPr>
  </w:style>
  <w:style w:type="paragraph" w:styleId="Ttulo8">
    <w:name w:val="heading 8"/>
    <w:basedOn w:val="Normal"/>
    <w:next w:val="Normal"/>
    <w:link w:val="Ttulo8Car"/>
    <w:uiPriority w:val="9"/>
    <w:semiHidden/>
    <w:unhideWhenUsed/>
    <w:qFormat/>
    <w:pPr>
      <w:keepNext/>
      <w:keepLines/>
      <w:numPr>
        <w:ilvl w:val="7"/>
        <w:numId w:val="4"/>
      </w:numPr>
      <w:spacing w:before="200" w:after="0" w:line="240" w:lineRule="auto"/>
      <w:jc w:val="both"/>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pPr>
      <w:keepNext/>
      <w:keepLines/>
      <w:numPr>
        <w:ilvl w:val="8"/>
        <w:numId w:val="4"/>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Marker">
    <w:name w:val="Marker"/>
    <w:basedOn w:val="Fuentedeprrafopredeter"/>
    <w:rsid w:val="00D02AD8"/>
    <w:rPr>
      <w:color w:val="0000FF"/>
      <w:bdr w:val="none" w:sz="0" w:space="0" w:color="auto"/>
      <w:shd w:val="clear" w:color="auto" w:fill="auto"/>
    </w:rPr>
  </w:style>
  <w:style w:type="paragraph" w:customStyle="1" w:styleId="Pagedecouverture">
    <w:name w:val="Page de couverture"/>
    <w:basedOn w:val="Normal"/>
    <w:next w:val="Normal"/>
    <w:pPr>
      <w:spacing w:after="0" w:line="240" w:lineRule="auto"/>
      <w:jc w:val="both"/>
    </w:pPr>
    <w:rPr>
      <w:rFonts w:ascii="Times New Roman" w:hAnsi="Times New Roman" w:cs="Times New Roman"/>
      <w:sz w:val="24"/>
    </w:rPr>
  </w:style>
  <w:style w:type="paragraph" w:styleId="Encabezado">
    <w:name w:val="header"/>
    <w:basedOn w:val="Normal"/>
    <w:link w:val="EncabezadoCar"/>
    <w:uiPriority w:val="99"/>
    <w:unhideWhenUsed/>
    <w:pPr>
      <w:tabs>
        <w:tab w:val="center" w:pos="4536"/>
        <w:tab w:val="right" w:pos="9072"/>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style>
  <w:style w:type="paragraph" w:customStyle="1" w:styleId="FooterCoverPage">
    <w:name w:val="Footer Cover Page"/>
    <w:basedOn w:val="Normal"/>
    <w:link w:val="FooterCoverPageChar"/>
    <w:pPr>
      <w:tabs>
        <w:tab w:val="center" w:pos="4535"/>
        <w:tab w:val="right" w:pos="9071"/>
        <w:tab w:val="right" w:pos="9921"/>
      </w:tabs>
      <w:spacing w:before="360" w:after="0" w:line="240" w:lineRule="auto"/>
      <w:ind w:left="-850" w:right="-850"/>
    </w:pPr>
    <w:rPr>
      <w:rFonts w:ascii="Times New Roman" w:hAnsi="Times New Roman" w:cs="Times New Roman"/>
      <w:sz w:val="24"/>
    </w:rPr>
  </w:style>
  <w:style w:type="character" w:customStyle="1" w:styleId="FooterCoverPageChar">
    <w:name w:val="Footer Cover Page Char"/>
    <w:basedOn w:val="Fuentedeprrafopredeter"/>
    <w:link w:val="FooterCoverPage"/>
    <w:rPr>
      <w:rFonts w:ascii="Times New Roman" w:hAnsi="Times New Roman" w:cs="Times New Roman"/>
      <w:sz w:val="24"/>
    </w:rPr>
  </w:style>
  <w:style w:type="paragraph" w:customStyle="1" w:styleId="FooterSensitivity">
    <w:name w:val="Footer Sensitivity"/>
    <w:basedOn w:val="Normal"/>
    <w:link w:val="FooterSensitivityChar"/>
    <w:pPr>
      <w:pBdr>
        <w:top w:val="single" w:sz="4" w:space="1" w:color="auto"/>
        <w:left w:val="single" w:sz="4" w:space="4" w:color="auto"/>
        <w:bottom w:val="single" w:sz="4" w:space="1" w:color="auto"/>
        <w:right w:val="single" w:sz="4" w:space="4" w:color="auto"/>
      </w:pBdr>
      <w:spacing w:before="360" w:after="0" w:line="240" w:lineRule="auto"/>
      <w:ind w:left="113" w:right="113"/>
      <w:jc w:val="center"/>
    </w:pPr>
    <w:rPr>
      <w:rFonts w:ascii="Times New Roman" w:hAnsi="Times New Roman" w:cs="Times New Roman"/>
      <w:b/>
      <w:sz w:val="32"/>
    </w:rPr>
  </w:style>
  <w:style w:type="character" w:customStyle="1" w:styleId="FooterSensitivityChar">
    <w:name w:val="Footer Sensitivity Char"/>
    <w:basedOn w:val="Fuentedeprrafopredeter"/>
    <w:link w:val="FooterSensitivity"/>
    <w:rPr>
      <w:rFonts w:ascii="Times New Roman" w:hAnsi="Times New Roman" w:cs="Times New Roman"/>
      <w:b/>
      <w:sz w:val="32"/>
    </w:rPr>
  </w:style>
  <w:style w:type="paragraph" w:customStyle="1" w:styleId="HeaderCoverPage">
    <w:name w:val="Header Cover Page"/>
    <w:basedOn w:val="Normal"/>
    <w:link w:val="HeaderCoverPageChar"/>
    <w:pPr>
      <w:tabs>
        <w:tab w:val="center" w:pos="4535"/>
        <w:tab w:val="right" w:pos="9071"/>
      </w:tabs>
      <w:spacing w:after="120" w:line="240" w:lineRule="auto"/>
      <w:jc w:val="both"/>
    </w:pPr>
    <w:rPr>
      <w:rFonts w:ascii="Times New Roman" w:hAnsi="Times New Roman" w:cs="Times New Roman"/>
      <w:sz w:val="24"/>
    </w:rPr>
  </w:style>
  <w:style w:type="character" w:customStyle="1" w:styleId="HeaderCoverPageChar">
    <w:name w:val="Header Cover Page Char"/>
    <w:basedOn w:val="Fuentedeprrafopredeter"/>
    <w:link w:val="HeaderCoverPage"/>
    <w:rPr>
      <w:rFonts w:ascii="Times New Roman" w:hAnsi="Times New Roman" w:cs="Times New Roman"/>
      <w:sz w:val="24"/>
    </w:rPr>
  </w:style>
  <w:style w:type="paragraph" w:customStyle="1" w:styleId="HeaderSensitivity">
    <w:name w:val="Header Sensitivity"/>
    <w:basedOn w:val="Normal"/>
    <w:link w:val="HeaderSensitivityChar"/>
    <w:pPr>
      <w:pBdr>
        <w:top w:val="single" w:sz="4" w:space="1" w:color="auto"/>
        <w:left w:val="single" w:sz="4" w:space="4" w:color="auto"/>
        <w:bottom w:val="single" w:sz="4" w:space="1" w:color="auto"/>
        <w:right w:val="single" w:sz="4" w:space="4" w:color="auto"/>
      </w:pBdr>
      <w:spacing w:after="120" w:line="240" w:lineRule="auto"/>
      <w:ind w:left="113" w:right="113"/>
      <w:jc w:val="center"/>
    </w:pPr>
    <w:rPr>
      <w:rFonts w:ascii="Times New Roman" w:hAnsi="Times New Roman" w:cs="Times New Roman"/>
      <w:b/>
      <w:sz w:val="32"/>
    </w:rPr>
  </w:style>
  <w:style w:type="character" w:customStyle="1" w:styleId="HeaderSensitivityChar">
    <w:name w:val="Header Sensitivity Char"/>
    <w:basedOn w:val="Fuentedeprrafopredeter"/>
    <w:link w:val="HeaderSensitivity"/>
    <w:rPr>
      <w:rFonts w:ascii="Times New Roman" w:hAnsi="Times New Roman" w:cs="Times New Roman"/>
      <w:b/>
      <w:sz w:val="32"/>
    </w:rPr>
  </w:style>
  <w:style w:type="character" w:customStyle="1" w:styleId="Ttulo1Car">
    <w:name w:val="Título 1 Car"/>
    <w:basedOn w:val="Fuentedeprrafopredeter"/>
    <w:link w:val="Ttulo1"/>
    <w:rPr>
      <w:rFonts w:ascii="Times New Roman" w:eastAsia="Times New Roman" w:hAnsi="Times New Roman" w:cs="Times New Roman"/>
      <w:b/>
      <w:smallCaps/>
      <w:sz w:val="24"/>
      <w:szCs w:val="20"/>
      <w:lang w:val="es-ES"/>
    </w:rPr>
  </w:style>
  <w:style w:type="character" w:customStyle="1" w:styleId="Ttulo2Car">
    <w:name w:val="Título 2 Car"/>
    <w:basedOn w:val="Fuentedeprrafopredeter"/>
    <w:link w:val="Ttulo2"/>
    <w:rPr>
      <w:rFonts w:ascii="Times New Roman" w:eastAsia="Times New Roman" w:hAnsi="Times New Roman" w:cs="Times New Roman"/>
      <w:b/>
      <w:sz w:val="24"/>
      <w:szCs w:val="20"/>
      <w:lang w:val="es-ES"/>
    </w:rPr>
  </w:style>
  <w:style w:type="character" w:customStyle="1" w:styleId="Ttulo3Car">
    <w:name w:val="Título 3 Car"/>
    <w:basedOn w:val="Fuentedeprrafopredeter"/>
    <w:link w:val="Ttulo3"/>
    <w:rPr>
      <w:rFonts w:ascii="Times New Roman" w:eastAsia="Times New Roman" w:hAnsi="Times New Roman" w:cs="Times New Roman"/>
      <w:b/>
      <w:i/>
      <w:sz w:val="24"/>
      <w:szCs w:val="20"/>
      <w:lang w:val="es-ES"/>
    </w:rPr>
  </w:style>
  <w:style w:type="character" w:customStyle="1" w:styleId="Ttulo4Car">
    <w:name w:val="Título 4 Car"/>
    <w:basedOn w:val="Fuentedeprrafopredeter"/>
    <w:link w:val="Ttulo4"/>
    <w:rPr>
      <w:rFonts w:ascii="Times New Roman" w:eastAsia="Times New Roman" w:hAnsi="Times New Roman" w:cs="Times New Roman"/>
      <w:sz w:val="24"/>
      <w:szCs w:val="20"/>
      <w:lang w:val="es-ES"/>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243F60" w:themeColor="accent1" w:themeShade="7F"/>
      <w:sz w:val="24"/>
      <w:szCs w:val="20"/>
      <w:lang w:val="es-ES"/>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243F60" w:themeColor="accent1" w:themeShade="7F"/>
      <w:sz w:val="24"/>
      <w:szCs w:val="20"/>
      <w:lang w:val="es-ES"/>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404040" w:themeColor="text1" w:themeTint="BF"/>
      <w:sz w:val="24"/>
      <w:szCs w:val="20"/>
      <w:lang w:val="es-ES"/>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404040" w:themeColor="text1" w:themeTint="BF"/>
      <w:sz w:val="20"/>
      <w:szCs w:val="20"/>
      <w:lang w:val="es-ES"/>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404040" w:themeColor="text1" w:themeTint="BF"/>
      <w:sz w:val="20"/>
      <w:szCs w:val="20"/>
      <w:lang w:val="es-ES"/>
    </w:rPr>
  </w:style>
  <w:style w:type="paragraph" w:customStyle="1" w:styleId="Text1">
    <w:name w:val="Text 1"/>
    <w:basedOn w:val="Normal"/>
    <w:pPr>
      <w:spacing w:after="240" w:line="240" w:lineRule="auto"/>
      <w:ind w:left="482"/>
      <w:jc w:val="both"/>
    </w:pPr>
    <w:rPr>
      <w:rFonts w:ascii="Times New Roman" w:eastAsia="Times New Roman" w:hAnsi="Times New Roman" w:cs="Times New Roman"/>
      <w:sz w:val="24"/>
      <w:szCs w:val="20"/>
    </w:rPr>
  </w:style>
  <w:style w:type="paragraph" w:customStyle="1" w:styleId="Text2">
    <w:name w:val="Text 2"/>
    <w:basedOn w:val="Normal"/>
    <w:pPr>
      <w:tabs>
        <w:tab w:val="left" w:pos="2302"/>
      </w:tabs>
      <w:spacing w:after="240" w:line="240" w:lineRule="auto"/>
      <w:ind w:left="1202"/>
      <w:jc w:val="both"/>
    </w:pPr>
    <w:rPr>
      <w:rFonts w:ascii="Times New Roman" w:eastAsia="Times New Roman" w:hAnsi="Times New Roman" w:cs="Times New Roman"/>
      <w:sz w:val="24"/>
      <w:szCs w:val="20"/>
    </w:rPr>
  </w:style>
  <w:style w:type="paragraph" w:styleId="Listaconvietas">
    <w:name w:val="List Bullet"/>
    <w:basedOn w:val="Normal"/>
    <w:pPr>
      <w:numPr>
        <w:numId w:val="5"/>
      </w:numPr>
      <w:tabs>
        <w:tab w:val="clear" w:pos="360"/>
        <w:tab w:val="num" w:pos="283"/>
      </w:tabs>
      <w:spacing w:after="240" w:line="240" w:lineRule="auto"/>
      <w:ind w:left="283" w:hanging="283"/>
      <w:jc w:val="both"/>
    </w:pPr>
    <w:rPr>
      <w:rFonts w:ascii="Times New Roman" w:eastAsia="Times New Roman" w:hAnsi="Times New Roman" w:cs="Times New Roman"/>
      <w:sz w:val="24"/>
      <w:szCs w:val="20"/>
    </w:rPr>
  </w:style>
  <w:style w:type="paragraph" w:customStyle="1" w:styleId="ListDash1">
    <w:name w:val="List Dash 1"/>
    <w:basedOn w:val="Text1"/>
    <w:pPr>
      <w:numPr>
        <w:numId w:val="1"/>
      </w:numPr>
    </w:pPr>
  </w:style>
  <w:style w:type="table" w:styleId="Tablaconcuadrcula">
    <w:name w:val="Table Grid"/>
    <w:aliases w:val="Document Table,CV1,Standard table format"/>
    <w:basedOn w:val="Tablanormal"/>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Title">
    <w:name w:val="Annex Title"/>
    <w:basedOn w:val="Normal"/>
    <w:next w:val="Normal"/>
    <w:link w:val="AnnexTitleChar"/>
    <w:qFormat/>
    <w:pPr>
      <w:keepNext/>
      <w:spacing w:after="480" w:line="240" w:lineRule="auto"/>
      <w:jc w:val="center"/>
    </w:pPr>
    <w:rPr>
      <w:rFonts w:ascii="Times New Roman" w:eastAsia="Times New Roman" w:hAnsi="Times New Roman" w:cs="Times New Roman"/>
      <w:b/>
      <w:sz w:val="32"/>
      <w:szCs w:val="20"/>
    </w:rPr>
  </w:style>
  <w:style w:type="character" w:customStyle="1" w:styleId="AnnexTitleChar">
    <w:name w:val="Annex Title Char"/>
    <w:basedOn w:val="Fuentedeprrafopredeter"/>
    <w:link w:val="AnnexTitle"/>
    <w:rPr>
      <w:rFonts w:ascii="Times New Roman" w:eastAsia="Times New Roman" w:hAnsi="Times New Roman" w:cs="Times New Roman"/>
      <w:b/>
      <w:sz w:val="32"/>
      <w:szCs w:val="20"/>
      <w:lang w:val="es-ES"/>
    </w:rPr>
  </w:style>
  <w:style w:type="table" w:customStyle="1" w:styleId="CV11">
    <w:name w:val="CV11"/>
    <w:basedOn w:val="Tablanormal"/>
    <w:next w:val="Tablaconcuadrcula"/>
    <w:uiPriority w:val="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2">
    <w:name w:val="CV12"/>
    <w:basedOn w:val="Tablanormal"/>
    <w:next w:val="Tablaconcuadrcula"/>
    <w:uiPriority w:val="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3">
    <w:name w:val="CV13"/>
    <w:basedOn w:val="Tablanormal"/>
    <w:next w:val="Tablaconcuadrcula"/>
    <w:uiPriority w:val="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uiPriority w:val="39"/>
    <w:pPr>
      <w:tabs>
        <w:tab w:val="right" w:leader="dot" w:pos="8640"/>
      </w:tabs>
      <w:spacing w:before="120" w:after="120" w:line="240" w:lineRule="auto"/>
      <w:ind w:left="482" w:right="720" w:hanging="482"/>
      <w:jc w:val="both"/>
    </w:pPr>
    <w:rPr>
      <w:rFonts w:ascii="Times New Roman" w:eastAsia="Times New Roman" w:hAnsi="Times New Roman" w:cs="Times New Roman"/>
      <w:caps/>
      <w:sz w:val="20"/>
      <w:szCs w:val="20"/>
    </w:rPr>
  </w:style>
  <w:style w:type="paragraph" w:styleId="TDC2">
    <w:name w:val="toc 2"/>
    <w:basedOn w:val="Normal"/>
    <w:next w:val="Normal"/>
    <w:uiPriority w:val="39"/>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rPr>
  </w:style>
  <w:style w:type="paragraph" w:styleId="TtuloTDC">
    <w:name w:val="TOC Heading"/>
    <w:basedOn w:val="Normal"/>
    <w:next w:val="Normal"/>
    <w:qFormat/>
    <w:pPr>
      <w:keepNext/>
      <w:spacing w:before="240" w:after="240" w:line="240" w:lineRule="auto"/>
      <w:jc w:val="center"/>
    </w:pPr>
    <w:rPr>
      <w:rFonts w:ascii="Times New Roman" w:eastAsia="Times New Roman" w:hAnsi="Times New Roman" w:cs="Times New Roman"/>
      <w:b/>
      <w:sz w:val="24"/>
      <w:szCs w:val="20"/>
    </w:rPr>
  </w:style>
  <w:style w:type="character" w:styleId="Hipervnculo">
    <w:name w:val="Hyperlink"/>
    <w:basedOn w:val="Fuentedeprrafopredeter"/>
    <w:uiPriority w:val="99"/>
    <w:unhideWhenUsed/>
    <w:rPr>
      <w:color w:val="0000FF" w:themeColor="hyperlink"/>
      <w:u w:val="single"/>
    </w:rPr>
  </w:style>
  <w:style w:type="paragraph" w:styleId="Textodeglobo">
    <w:name w:val="Balloon Text"/>
    <w:basedOn w:val="Normal"/>
    <w:link w:val="TextodegloboCar"/>
    <w:uiPriority w:val="99"/>
    <w:semiHidden/>
    <w:unhideWhenUsed/>
    <w:pPr>
      <w:spacing w:after="0" w:line="240" w:lineRule="auto"/>
      <w:jc w:val="both"/>
    </w:pPr>
    <w:rPr>
      <w:rFonts w:ascii="Tahoma" w:eastAsia="Times New Roman" w:hAnsi="Tahoma" w:cs="Tahoma"/>
      <w:sz w:val="16"/>
      <w:szCs w:val="16"/>
    </w:rPr>
  </w:style>
  <w:style w:type="character" w:customStyle="1" w:styleId="TextodegloboCar">
    <w:name w:val="Texto de globo Car"/>
    <w:basedOn w:val="Fuentedeprrafopredeter"/>
    <w:link w:val="Textodeglobo"/>
    <w:uiPriority w:val="99"/>
    <w:semiHidden/>
    <w:rPr>
      <w:rFonts w:ascii="Tahoma" w:eastAsia="Times New Roman" w:hAnsi="Tahoma" w:cs="Tahoma"/>
      <w:sz w:val="16"/>
      <w:szCs w:val="16"/>
      <w:lang w:val="es-ES"/>
    </w:rPr>
  </w:style>
  <w:style w:type="paragraph" w:styleId="Prrafodelista">
    <w:name w:val="List Paragraph"/>
    <w:aliases w:val="Fiche List Paragraph,Task Body,Viñetas (Inicio Parrafo),3 Txt tabla,Zerrenda-paragrafoa,Lista multicolor - Énfasis 11,Paragrafo elenco,Dot pt,No Spacing1,List Paragraph Char Char Char,Indicator Text,Bullet 1,Numbered Para 1"/>
    <w:basedOn w:val="Normal"/>
    <w:link w:val="PrrafodelistaCar"/>
    <w:uiPriority w:val="34"/>
    <w:qFormat/>
    <w:pPr>
      <w:spacing w:after="120" w:line="240" w:lineRule="auto"/>
      <w:ind w:left="720"/>
      <w:contextualSpacing/>
      <w:jc w:val="both"/>
    </w:pPr>
    <w:rPr>
      <w:rFonts w:ascii="Times New Roman" w:eastAsia="Times New Roman" w:hAnsi="Times New Roman" w:cs="Times New Roman"/>
      <w:sz w:val="24"/>
      <w:szCs w:val="20"/>
    </w:rPr>
  </w:style>
  <w:style w:type="paragraph" w:styleId="Textonotapie">
    <w:name w:val="footnote text"/>
    <w:aliases w:val="Char,Fußnote,Carattere,fn,Footnotes,Footnote ak,Footnote Text Char Char,fn Char Char,footnote text Char Char,Footnotes Char Char,Footnote ak Char Char,fn Char1,footnote text Char1,Footnotes Char1,ft,Footnote Text_EP-LC,Schriftart: 9 pt,o"/>
    <w:basedOn w:val="Normal"/>
    <w:link w:val="TextonotapieCar"/>
    <w:uiPriority w:val="99"/>
    <w:unhideWhenUsed/>
    <w:qFormat/>
    <w:pPr>
      <w:spacing w:after="0" w:line="240" w:lineRule="auto"/>
      <w:ind w:left="720" w:hanging="720"/>
      <w:jc w:val="both"/>
    </w:pPr>
    <w:rPr>
      <w:rFonts w:ascii="Times New Roman" w:eastAsia="Times New Roman" w:hAnsi="Times New Roman" w:cs="Times New Roman"/>
      <w:sz w:val="18"/>
      <w:szCs w:val="20"/>
    </w:rPr>
  </w:style>
  <w:style w:type="character" w:customStyle="1" w:styleId="TextonotapieCar">
    <w:name w:val="Texto nota pie Car"/>
    <w:aliases w:val="Char Car,Fußnote Car,Carattere Car,fn Car,Footnotes Car,Footnote ak Car,Footnote Text Char Char Car,fn Char Char Car,footnote text Char Char Car,Footnotes Char Char Car,Footnote ak Char Char Car,fn Char1 Car,footnote text Char1 Car"/>
    <w:basedOn w:val="Fuentedeprrafopredeter"/>
    <w:link w:val="Textonotapie"/>
    <w:uiPriority w:val="99"/>
    <w:rPr>
      <w:rFonts w:ascii="Times New Roman" w:eastAsia="Times New Roman" w:hAnsi="Times New Roman" w:cs="Times New Roman"/>
      <w:sz w:val="18"/>
      <w:szCs w:val="20"/>
      <w:lang w:val="es-ES"/>
    </w:rPr>
  </w:style>
  <w:style w:type="character" w:styleId="Refdenotaalpie">
    <w:name w:val="footnote reference"/>
    <w:aliases w:val="Footnote Reference Superscript,BVI fnr,Footnote symbol,Footnote reference number,note TESI,Appel note de bas de p,Nota,SUPERS,Footnote number,EN Footnote Reference,-E Fußnotenzeichen,number Char Char,number,Ref,styl,styli,fr, BVI fnr"/>
    <w:basedOn w:val="Fuentedeprrafopredeter"/>
    <w:link w:val="CharCharChar1"/>
    <w:uiPriority w:val="99"/>
    <w:unhideWhenUsed/>
    <w:qFormat/>
    <w:rPr>
      <w:vertAlign w:val="superscript"/>
    </w:rPr>
  </w:style>
  <w:style w:type="paragraph" w:customStyle="1" w:styleId="Declassification">
    <w:name w:val="Declassification"/>
    <w:basedOn w:val="Normal"/>
    <w:next w:val="Normal"/>
    <w:pPr>
      <w:spacing w:after="0" w:line="240" w:lineRule="auto"/>
      <w:jc w:val="both"/>
    </w:pPr>
    <w:rPr>
      <w:rFonts w:ascii="Times New Roman" w:eastAsia="Times New Roman" w:hAnsi="Times New Roman" w:cs="Times New Roman"/>
      <w:sz w:val="24"/>
      <w:szCs w:val="20"/>
    </w:rPr>
  </w:style>
  <w:style w:type="paragraph" w:customStyle="1" w:styleId="HeaderLandscape">
    <w:name w:val="HeaderLandscape"/>
    <w:basedOn w:val="Normal"/>
    <w:pPr>
      <w:tabs>
        <w:tab w:val="center" w:pos="7285"/>
        <w:tab w:val="right" w:pos="14003"/>
      </w:tabs>
      <w:spacing w:after="120" w:line="240" w:lineRule="auto"/>
      <w:jc w:val="both"/>
    </w:pPr>
    <w:rPr>
      <w:rFonts w:ascii="Times New Roman" w:eastAsia="Times New Roman" w:hAnsi="Times New Roman" w:cs="Times New Roman"/>
      <w:sz w:val="24"/>
      <w:szCs w:val="20"/>
    </w:rPr>
  </w:style>
  <w:style w:type="paragraph" w:customStyle="1" w:styleId="FooterLandscape">
    <w:name w:val="FooterLandscape"/>
    <w:basedOn w:val="Normal"/>
    <w:pPr>
      <w:tabs>
        <w:tab w:val="center" w:pos="7285"/>
        <w:tab w:val="center" w:pos="10913"/>
        <w:tab w:val="right" w:pos="15137"/>
      </w:tabs>
      <w:spacing w:before="360" w:after="0" w:line="240" w:lineRule="auto"/>
      <w:ind w:left="-567" w:right="-567"/>
      <w:jc w:val="both"/>
    </w:pPr>
    <w:rPr>
      <w:rFonts w:ascii="Times New Roman" w:eastAsia="Times New Roman" w:hAnsi="Times New Roman" w:cs="Times New Roman"/>
      <w:sz w:val="24"/>
      <w:szCs w:val="20"/>
    </w:rPr>
  </w:style>
  <w:style w:type="paragraph" w:customStyle="1" w:styleId="CharCharChar1">
    <w:name w:val="Char Char Char1"/>
    <w:basedOn w:val="Normal"/>
    <w:link w:val="Refdenotaalpie"/>
    <w:uiPriority w:val="99"/>
    <w:pPr>
      <w:spacing w:after="160" w:line="240" w:lineRule="exact"/>
      <w:jc w:val="both"/>
    </w:pPr>
    <w:rPr>
      <w:vertAlign w:val="superscript"/>
    </w:rPr>
  </w:style>
  <w:style w:type="paragraph" w:styleId="Textonotaalfinal">
    <w:name w:val="endnote text"/>
    <w:basedOn w:val="Normal"/>
    <w:link w:val="TextonotaalfinalCar"/>
    <w:uiPriority w:val="99"/>
    <w:semiHidden/>
    <w:unhideWhenUsed/>
    <w:pPr>
      <w:spacing w:after="0" w:line="240" w:lineRule="auto"/>
      <w:jc w:val="both"/>
    </w:pPr>
    <w:rPr>
      <w:rFonts w:ascii="Calibri" w:eastAsia="Calibri" w:hAnsi="Calibri" w:cs="Times New Roman"/>
      <w:sz w:val="20"/>
      <w:szCs w:val="20"/>
    </w:rPr>
  </w:style>
  <w:style w:type="character" w:customStyle="1" w:styleId="TextonotaalfinalCar">
    <w:name w:val="Texto nota al final Car"/>
    <w:basedOn w:val="Fuentedeprrafopredeter"/>
    <w:link w:val="Textonotaalfinal"/>
    <w:uiPriority w:val="99"/>
    <w:semiHidden/>
    <w:rPr>
      <w:rFonts w:ascii="Calibri" w:eastAsia="Calibri" w:hAnsi="Calibri" w:cs="Times New Roman"/>
      <w:sz w:val="20"/>
      <w:szCs w:val="20"/>
      <w:lang w:val="es-ES"/>
    </w:rPr>
  </w:style>
  <w:style w:type="character" w:styleId="Refdenotaalfinal">
    <w:name w:val="endnote reference"/>
    <w:basedOn w:val="Fuentedeprrafopredeter"/>
    <w:uiPriority w:val="99"/>
    <w:semiHidden/>
    <w:unhideWhenUsed/>
    <w:rPr>
      <w:vertAlign w:val="superscript"/>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Descripcin">
    <w:name w:val="caption"/>
    <w:aliases w:val="Caption1 Char Char Char Char Char Char Char Char Tegn Tegn Tegn Tegn Tegn,Caption1 Char Char Char Char Char Char Char Char Tegn Tegn Tegn,Caption1 Char Char Char Char Char Char Char Char Tegn Tegn, Char Char Char,Tabelko"/>
    <w:basedOn w:val="Normal"/>
    <w:next w:val="Normal"/>
    <w:link w:val="DescripcinCar"/>
    <w:autoRedefine/>
    <w:uiPriority w:val="99"/>
    <w:qFormat/>
    <w:pPr>
      <w:keepNext/>
      <w:spacing w:after="0" w:line="240" w:lineRule="auto"/>
      <w:jc w:val="both"/>
    </w:pPr>
    <w:rPr>
      <w:rFonts w:ascii="Times New Roman" w:eastAsia="Times New Roman" w:hAnsi="Times New Roman" w:cs="Times New Roman"/>
      <w:b/>
      <w:i/>
      <w:color w:val="244061" w:themeColor="accent1" w:themeShade="80"/>
      <w:sz w:val="20"/>
      <w:szCs w:val="24"/>
    </w:rPr>
  </w:style>
  <w:style w:type="character" w:customStyle="1" w:styleId="DescripcinCar">
    <w:name w:val="Descripción Car"/>
    <w:aliases w:val="Caption1 Char Char Char Char Char Char Char Char Tegn Tegn Tegn Tegn Tegn Car,Caption1 Char Char Char Char Char Char Char Char Tegn Tegn Tegn Car,Caption1 Char Char Char Char Char Char Char Char Tegn Tegn Car, Char Char Char Car"/>
    <w:link w:val="Descripcin"/>
    <w:uiPriority w:val="99"/>
    <w:rPr>
      <w:rFonts w:ascii="Times New Roman" w:eastAsia="Times New Roman" w:hAnsi="Times New Roman" w:cs="Times New Roman"/>
      <w:b/>
      <w:i/>
      <w:color w:val="244061" w:themeColor="accent1" w:themeShade="80"/>
      <w:sz w:val="20"/>
      <w:szCs w:val="24"/>
      <w:lang w:val="es-ES" w:eastAsia="es-ES"/>
    </w:rPr>
  </w:style>
  <w:style w:type="paragraph" w:customStyle="1" w:styleId="AppendixH1">
    <w:name w:val="Appendix H1"/>
    <w:basedOn w:val="Normal"/>
    <w:link w:val="AppendixH1Char"/>
    <w:qFormat/>
    <w:pPr>
      <w:numPr>
        <w:numId w:val="2"/>
      </w:numPr>
      <w:spacing w:after="120" w:line="240" w:lineRule="auto"/>
      <w:jc w:val="both"/>
    </w:pPr>
    <w:rPr>
      <w:rFonts w:ascii="Times New Roman" w:eastAsia="Times New Roman" w:hAnsi="Times New Roman" w:cs="Times New Roman"/>
      <w:b/>
      <w:sz w:val="24"/>
      <w:szCs w:val="24"/>
    </w:rPr>
  </w:style>
  <w:style w:type="paragraph" w:customStyle="1" w:styleId="AppendixH2">
    <w:name w:val="Appendix H2"/>
    <w:basedOn w:val="Normal"/>
    <w:link w:val="AppendixH2Char"/>
    <w:qFormat/>
    <w:pPr>
      <w:numPr>
        <w:ilvl w:val="1"/>
        <w:numId w:val="2"/>
      </w:numPr>
      <w:spacing w:after="120" w:line="240" w:lineRule="auto"/>
      <w:ind w:hanging="454"/>
      <w:jc w:val="both"/>
    </w:pPr>
    <w:rPr>
      <w:rFonts w:ascii="Times New Roman" w:eastAsia="Times New Roman" w:hAnsi="Times New Roman" w:cs="Times New Roman"/>
      <w:b/>
      <w:sz w:val="24"/>
      <w:szCs w:val="24"/>
    </w:rPr>
  </w:style>
  <w:style w:type="character" w:customStyle="1" w:styleId="AppendixH1Char">
    <w:name w:val="Appendix H1 Char"/>
    <w:basedOn w:val="Fuentedeprrafopredeter"/>
    <w:link w:val="AppendixH1"/>
    <w:rPr>
      <w:rFonts w:ascii="Times New Roman" w:eastAsia="Times New Roman" w:hAnsi="Times New Roman" w:cs="Times New Roman"/>
      <w:b/>
      <w:sz w:val="24"/>
      <w:szCs w:val="24"/>
      <w:lang w:val="es-ES"/>
    </w:rPr>
  </w:style>
  <w:style w:type="paragraph" w:customStyle="1" w:styleId="AppendixH3">
    <w:name w:val="Appendix H3"/>
    <w:basedOn w:val="Normal"/>
    <w:qFormat/>
    <w:pPr>
      <w:numPr>
        <w:ilvl w:val="2"/>
        <w:numId w:val="2"/>
      </w:numPr>
      <w:spacing w:after="120" w:line="240" w:lineRule="auto"/>
      <w:jc w:val="both"/>
    </w:pPr>
    <w:rPr>
      <w:rFonts w:ascii="Times New Roman" w:eastAsia="Times New Roman" w:hAnsi="Times New Roman" w:cs="Times New Roman"/>
      <w:i/>
      <w:sz w:val="24"/>
      <w:szCs w:val="24"/>
    </w:rPr>
  </w:style>
  <w:style w:type="character" w:customStyle="1" w:styleId="AppendixH2Char">
    <w:name w:val="Appendix H2 Char"/>
    <w:basedOn w:val="Fuentedeprrafopredeter"/>
    <w:link w:val="AppendixH2"/>
    <w:rPr>
      <w:rFonts w:ascii="Times New Roman" w:eastAsia="Times New Roman" w:hAnsi="Times New Roman" w:cs="Times New Roman"/>
      <w:b/>
      <w:sz w:val="24"/>
      <w:szCs w:val="24"/>
      <w:lang w:val="es-ES"/>
    </w:rPr>
  </w:style>
  <w:style w:type="numbering" w:customStyle="1" w:styleId="appendix">
    <w:name w:val="appendix"/>
    <w:uiPriority w:val="99"/>
    <w:pPr>
      <w:numPr>
        <w:numId w:val="6"/>
      </w:numPr>
    </w:pPr>
  </w:style>
  <w:style w:type="character" w:customStyle="1" w:styleId="PrrafodelistaCar">
    <w:name w:val="Párrafo de lista Car"/>
    <w:aliases w:val="Fiche List Paragraph Car,Task Body Car,Viñetas (Inicio Parrafo) Car,3 Txt tabla Car,Zerrenda-paragrafoa Car,Lista multicolor - Énfasis 11 Car,Paragrafo elenco Car,Dot pt Car,No Spacing1 Car,List Paragraph Char Char Char Car"/>
    <w:basedOn w:val="Fuentedeprrafopredeter"/>
    <w:link w:val="Prrafodelista"/>
    <w:uiPriority w:val="34"/>
    <w:qFormat/>
    <w:rPr>
      <w:rFonts w:ascii="Times New Roman" w:eastAsia="Times New Roman" w:hAnsi="Times New Roman" w:cs="Times New Roman"/>
      <w:sz w:val="24"/>
      <w:szCs w:val="20"/>
      <w:lang w:val="es-ES"/>
    </w:rPr>
  </w:style>
  <w:style w:type="character" w:styleId="Textodelmarcadordeposicin">
    <w:name w:val="Placeholder Text"/>
    <w:basedOn w:val="Fuentedeprrafopredeter"/>
    <w:uiPriority w:val="99"/>
    <w:semiHidden/>
    <w:rPr>
      <w:color w:val="808080"/>
    </w:rPr>
  </w:style>
  <w:style w:type="table" w:styleId="Listaclara-nfasis1">
    <w:name w:val="Light List Accent 1"/>
    <w:basedOn w:val="Tabla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rearticle">
    <w:name w:val="Titre article"/>
    <w:basedOn w:val="Normal"/>
    <w:next w:val="Normal"/>
    <w:pPr>
      <w:keepNext/>
      <w:spacing w:before="360" w:after="120" w:line="240" w:lineRule="auto"/>
      <w:jc w:val="center"/>
    </w:pPr>
    <w:rPr>
      <w:rFonts w:ascii="Times New Roman" w:eastAsia="Times New Roman" w:hAnsi="Times New Roman" w:cs="Times New Roman"/>
      <w:i/>
      <w:sz w:val="24"/>
      <w:szCs w:val="20"/>
    </w:rPr>
  </w:style>
  <w:style w:type="paragraph" w:customStyle="1" w:styleId="footnote">
    <w:name w:val="footnote"/>
    <w:basedOn w:val="Textonotapie"/>
    <w:pPr>
      <w:ind w:left="0" w:firstLine="0"/>
    </w:pPr>
    <w:rPr>
      <w:rFonts w:asciiTheme="minorHAnsi" w:hAnsiTheme="minorHAnsi"/>
      <w:sz w:val="20"/>
    </w:rPr>
  </w:style>
  <w:style w:type="character" w:styleId="Hipervnculovisitado">
    <w:name w:val="FollowedHyperlink"/>
    <w:basedOn w:val="Fuentedeprrafopredeter"/>
    <w:uiPriority w:val="99"/>
    <w:semiHidden/>
    <w:unhideWhenUsed/>
    <w:rPr>
      <w:color w:val="800080" w:themeColor="followedHyperlink"/>
      <w:u w:val="single"/>
    </w:r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after="120" w:line="240" w:lineRule="auto"/>
      <w:jc w:val="both"/>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rFonts w:ascii="Times New Roman" w:eastAsia="Times New Roman" w:hAnsi="Times New Roman" w:cs="Times New Roman"/>
      <w:b/>
      <w:bCs/>
      <w:sz w:val="20"/>
      <w:szCs w:val="20"/>
      <w:lang w:val="es-ES"/>
    </w:rPr>
  </w:style>
  <w:style w:type="paragraph" w:styleId="Textoindependiente">
    <w:name w:val="Body Text"/>
    <w:aliases w:val="Document,Doc,Body Text2,doc,Standard paragraph,BodyText,(Norm),Body Text 12,bt,gl,uvlaka 2,heading3,Body Text - Level 2,1body,BodText,body text,Body Txt,Body Text-10,Body Text Char2,Text Char1,Text body, Car, (Norm),Τίτλος Μελέτης,b."/>
    <w:basedOn w:val="Normal"/>
    <w:link w:val="TextoindependienteCar"/>
    <w:qFormat/>
    <w:pPr>
      <w:spacing w:after="120" w:line="240" w:lineRule="auto"/>
      <w:jc w:val="both"/>
    </w:pPr>
    <w:rPr>
      <w:rFonts w:ascii="Georgia" w:eastAsia="Times New Roman" w:hAnsi="Georgia" w:cs="Times New Roman"/>
      <w:sz w:val="20"/>
      <w:szCs w:val="24"/>
    </w:rPr>
  </w:style>
  <w:style w:type="character" w:customStyle="1" w:styleId="TextoindependienteCar">
    <w:name w:val="Texto independiente Car"/>
    <w:aliases w:val="Document Car,Doc Car,Body Text2 Car,doc Car,Standard paragraph Car,BodyText Car,(Norm) Car,Body Text 12 Car,bt Car,gl Car,uvlaka 2 Car,heading3 Car,Body Text - Level 2 Car,1body Car,BodText Car,body text Car,Body Txt Car, Car Car"/>
    <w:basedOn w:val="Fuentedeprrafopredeter"/>
    <w:link w:val="Textoindependiente"/>
    <w:rPr>
      <w:rFonts w:ascii="Georgia" w:eastAsia="Times New Roman" w:hAnsi="Georgia" w:cs="Times New Roman"/>
      <w:sz w:val="20"/>
      <w:szCs w:val="24"/>
      <w:lang w:val="es-ES"/>
    </w:rPr>
  </w:style>
  <w:style w:type="paragraph" w:styleId="Revisin">
    <w:name w:val="Revision"/>
    <w:hidden/>
    <w:uiPriority w:val="99"/>
    <w:semiHidden/>
    <w:pPr>
      <w:spacing w:after="0" w:line="240" w:lineRule="auto"/>
    </w:pPr>
  </w:style>
  <w:style w:type="character" w:styleId="nfasisintenso">
    <w:name w:val="Intense Emphasis"/>
    <w:basedOn w:val="Fuentedeprrafopredeter"/>
    <w:uiPriority w:val="21"/>
    <w:qFormat/>
    <w:rPr>
      <w:b/>
      <w:bCs/>
      <w:i/>
      <w:iCs/>
      <w:color w:val="4F81BD" w:themeColor="accent1"/>
    </w:rPr>
  </w:style>
  <w:style w:type="paragraph" w:styleId="Cita">
    <w:name w:val="Quote"/>
    <w:aliases w:val="Quotation (long)"/>
    <w:basedOn w:val="Normal"/>
    <w:link w:val="CitaCar"/>
    <w:uiPriority w:val="11"/>
    <w:qFormat/>
    <w:pPr>
      <w:spacing w:after="120" w:line="240" w:lineRule="auto"/>
      <w:ind w:left="1021" w:right="1021"/>
      <w:jc w:val="both"/>
    </w:pPr>
    <w:rPr>
      <w:rFonts w:ascii="Times New Roman" w:eastAsia="SimSun" w:hAnsi="Times New Roman" w:cs="Times New Roman"/>
      <w:i/>
      <w:iCs/>
      <w:color w:val="404040"/>
      <w:sz w:val="24"/>
      <w:szCs w:val="20"/>
    </w:rPr>
  </w:style>
  <w:style w:type="character" w:customStyle="1" w:styleId="CitaCar">
    <w:name w:val="Cita Car"/>
    <w:aliases w:val="Quotation (long) Car"/>
    <w:basedOn w:val="Fuentedeprrafopredeter"/>
    <w:link w:val="Cita"/>
    <w:uiPriority w:val="11"/>
    <w:rPr>
      <w:rFonts w:ascii="Times New Roman" w:eastAsia="SimSun" w:hAnsi="Times New Roman" w:cs="Times New Roman"/>
      <w:i/>
      <w:iCs/>
      <w:color w:val="404040"/>
      <w:sz w:val="24"/>
      <w:szCs w:val="20"/>
      <w:lang w:val="es-ES"/>
    </w:rPr>
  </w:style>
  <w:style w:type="paragraph" w:styleId="Listaconvietas5">
    <w:name w:val="List Bullet 5"/>
    <w:basedOn w:val="Normal"/>
    <w:autoRedefine/>
    <w:pPr>
      <w:numPr>
        <w:numId w:val="3"/>
      </w:numPr>
      <w:spacing w:after="240" w:line="240" w:lineRule="auto"/>
      <w:jc w:val="both"/>
    </w:pPr>
    <w:rPr>
      <w:rFonts w:ascii="Times New Roman" w:eastAsia="Times New Roman" w:hAnsi="Times New Roman" w:cs="Times New Roman"/>
      <w:sz w:val="24"/>
      <w:szCs w:val="20"/>
    </w:rPr>
  </w:style>
  <w:style w:type="paragraph" w:styleId="Lista3">
    <w:name w:val="List 3"/>
    <w:basedOn w:val="Normal"/>
    <w:pPr>
      <w:spacing w:after="240" w:line="240" w:lineRule="auto"/>
      <w:ind w:left="849" w:hanging="283"/>
      <w:jc w:val="both"/>
    </w:pPr>
    <w:rPr>
      <w:rFonts w:ascii="Times New Roman" w:eastAsia="Times New Roman" w:hAnsi="Times New Roman" w:cs="Times New Roman"/>
      <w:sz w:val="24"/>
      <w:szCs w:val="20"/>
    </w:rPr>
  </w:style>
  <w:style w:type="table" w:customStyle="1" w:styleId="PlainTable41">
    <w:name w:val="Plain Table 41"/>
    <w:basedOn w:val="Tablanormal"/>
    <w:uiPriority w:val="44"/>
    <w:pPr>
      <w:spacing w:after="0" w:line="240" w:lineRule="auto"/>
    </w:pPr>
    <w:rPr>
      <w:rFonts w:eastAsia="Calibri"/>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DC3">
    <w:name w:val="toc 3"/>
    <w:basedOn w:val="Normal"/>
    <w:next w:val="Normal"/>
    <w:autoRedefine/>
    <w:uiPriority w:val="39"/>
    <w:unhideWhenUsed/>
    <w:pPr>
      <w:tabs>
        <w:tab w:val="left" w:pos="1320"/>
        <w:tab w:val="right" w:leader="dot" w:pos="8608"/>
      </w:tabs>
      <w:spacing w:after="100" w:line="240" w:lineRule="auto"/>
      <w:ind w:left="720"/>
      <w:jc w:val="both"/>
    </w:pPr>
    <w:rPr>
      <w:rFonts w:ascii="Times New Roman" w:eastAsia="Times New Roman" w:hAnsi="Times New Roman" w:cs="Times New Roman"/>
      <w:sz w:val="24"/>
      <w:szCs w:val="20"/>
    </w:rPr>
  </w:style>
  <w:style w:type="paragraph" w:styleId="NormalWeb">
    <w:name w:val="Normal (Web)"/>
    <w:basedOn w:val="Normal"/>
    <w:uiPriority w:val="99"/>
    <w:unhideWhenUsed/>
    <w:pPr>
      <w:spacing w:before="100" w:beforeAutospacing="1" w:after="100" w:afterAutospacing="1" w:line="240" w:lineRule="auto"/>
      <w:jc w:val="both"/>
    </w:pPr>
    <w:rPr>
      <w:rFonts w:ascii="Times New Roman" w:eastAsia="Times New Roman" w:hAnsi="Times New Roman" w:cs="Times New Roman"/>
      <w:sz w:val="24"/>
      <w:szCs w:val="24"/>
    </w:rPr>
  </w:style>
  <w:style w:type="table" w:customStyle="1" w:styleId="Cuadrculaclara-nfasis11">
    <w:name w:val="Cuadrícula clara - Énfasis 11"/>
    <w:basedOn w:val="Tablanormal"/>
    <w:uiPriority w:val="62"/>
    <w:pPr>
      <w:spacing w:after="0" w:line="240" w:lineRule="auto"/>
    </w:pPr>
    <w:rPr>
      <w:rFonts w:ascii="Calibri" w:eastAsia="Calibri"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100" w:beforeAutospacing="1" w:afterLines="0" w:after="100" w:afterAutospacing="1" w:line="240" w:lineRule="auto"/>
      </w:pPr>
      <w:rPr>
        <w:rFonts w:ascii="Cambria" w:eastAsia="Times New Roman" w:hAnsi="Cambri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100" w:beforeAutospacing="1" w:afterLines="0" w:after="100" w:afterAutospacing="1" w:line="240" w:lineRule="auto"/>
      </w:pPr>
      <w:rPr>
        <w:rFonts w:ascii="Cambria" w:eastAsia="Times New Roman" w:hAnsi="Cambri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tandardtableformat1">
    <w:name w:val="Standard table format1"/>
    <w:basedOn w:val="Tablanormal"/>
    <w:next w:val="Tablaconcuadrcul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rdtableformat2">
    <w:name w:val="Standard table format2"/>
    <w:basedOn w:val="Tablanormal"/>
    <w:next w:val="Tablaconcuadrcul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rdtableformat3">
    <w:name w:val="Standard table format3"/>
    <w:basedOn w:val="Tablanormal"/>
    <w:next w:val="Tablaconcuadrcul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letter">
    <w:name w:val="Point 1 (letter)"/>
    <w:basedOn w:val="Normal"/>
    <w:uiPriority w:val="99"/>
    <w:pPr>
      <w:spacing w:before="120" w:after="120" w:line="240" w:lineRule="auto"/>
      <w:ind w:left="1417" w:hanging="567"/>
      <w:jc w:val="both"/>
    </w:pPr>
    <w:rPr>
      <w:rFonts w:ascii="Times New Roman" w:eastAsia="Times New Roman" w:hAnsi="Times New Roman" w:cs="Times New Roman"/>
      <w:sz w:val="24"/>
      <w:szCs w:val="24"/>
    </w:rPr>
  </w:style>
  <w:style w:type="character" w:customStyle="1" w:styleId="CommentTextChar1">
    <w:name w:val="Comment Text Char1"/>
    <w:basedOn w:val="Fuentedeprrafopredeter"/>
    <w:uiPriority w:val="99"/>
    <w:rPr>
      <w:rFonts w:ascii="EC Square Sans Pro" w:hAnsi="EC Square Sans Pro"/>
      <w:sz w:val="20"/>
      <w:szCs w:val="20"/>
    </w:rPr>
  </w:style>
  <w:style w:type="paragraph" w:styleId="Textosinformato">
    <w:name w:val="Plain Text"/>
    <w:basedOn w:val="Normal"/>
    <w:link w:val="TextosinformatoCar"/>
    <w:uiPriority w:val="99"/>
    <w:unhideWhenUsed/>
    <w:pPr>
      <w:spacing w:after="0" w:line="240" w:lineRule="auto"/>
    </w:pPr>
    <w:rPr>
      <w:rFonts w:ascii="Calibri" w:hAnsi="Calibri"/>
      <w:szCs w:val="21"/>
    </w:rPr>
  </w:style>
  <w:style w:type="character" w:customStyle="1" w:styleId="TextosinformatoCar">
    <w:name w:val="Texto sin formato Car"/>
    <w:basedOn w:val="Fuentedeprrafopredeter"/>
    <w:link w:val="Textosinformato"/>
    <w:uiPriority w:val="99"/>
    <w:rPr>
      <w:rFonts w:ascii="Calibri" w:hAnsi="Calibri"/>
      <w:szCs w:val="21"/>
      <w:lang w:val="es-ES"/>
    </w:rPr>
  </w:style>
  <w:style w:type="paragraph" w:styleId="Listaconnmeros">
    <w:name w:val="List Number"/>
    <w:basedOn w:val="Normal"/>
    <w:uiPriority w:val="99"/>
    <w:semiHidden/>
    <w:unhideWhenUsed/>
    <w:pPr>
      <w:tabs>
        <w:tab w:val="num" w:pos="360"/>
      </w:tabs>
      <w:spacing w:after="120" w:line="240" w:lineRule="auto"/>
      <w:ind w:left="360" w:hanging="360"/>
      <w:contextualSpacing/>
      <w:jc w:val="both"/>
    </w:pPr>
    <w:rPr>
      <w:rFonts w:ascii="Times New Roman" w:eastAsia="Times New Roman" w:hAnsi="Times New Roman" w:cs="Times New Roman"/>
      <w:sz w:val="24"/>
      <w:szCs w:val="20"/>
    </w:rPr>
  </w:style>
  <w:style w:type="paragraph" w:customStyle="1" w:styleId="TechnicalBlock">
    <w:name w:val="Technical Block"/>
    <w:basedOn w:val="Normal"/>
    <w:link w:val="TechnicalBlockChar"/>
    <w:rsid w:val="00D02AD8"/>
    <w:pPr>
      <w:spacing w:after="240"/>
      <w:jc w:val="center"/>
    </w:pPr>
  </w:style>
  <w:style w:type="character" w:customStyle="1" w:styleId="TechnicalBlockChar">
    <w:name w:val="Technical Block Char"/>
    <w:basedOn w:val="Fuentedeprrafopredeter"/>
    <w:link w:val="TechnicalBlock"/>
    <w:rsid w:val="00D02AD8"/>
  </w:style>
  <w:style w:type="paragraph" w:customStyle="1" w:styleId="Lignefinal">
    <w:name w:val="Ligne final"/>
    <w:basedOn w:val="Normal"/>
    <w:next w:val="Normal"/>
    <w:rsid w:val="00D02AD8"/>
    <w:pPr>
      <w:pBdr>
        <w:bottom w:val="single" w:sz="4" w:space="0" w:color="000000"/>
      </w:pBdr>
      <w:spacing w:before="360" w:after="120" w:line="360" w:lineRule="auto"/>
      <w:ind w:left="3400" w:right="3400"/>
      <w:jc w:val="center"/>
    </w:pPr>
    <w:rPr>
      <w:rFonts w:ascii="Times New Roman" w:hAnsi="Times New Roman" w:cs="Times New Roman"/>
      <w:b/>
      <w:sz w:val="24"/>
      <w:lang w:eastAsia="en-US" w:bidi="ar-SA"/>
    </w:rPr>
  </w:style>
  <w:style w:type="paragraph" w:customStyle="1" w:styleId="EntText">
    <w:name w:val="EntText"/>
    <w:basedOn w:val="Normal"/>
    <w:rsid w:val="00D02AD8"/>
    <w:pPr>
      <w:spacing w:before="120" w:after="120" w:line="360" w:lineRule="auto"/>
    </w:pPr>
    <w:rPr>
      <w:rFonts w:ascii="Times New Roman" w:hAnsi="Times New Roman" w:cs="Times New Roman"/>
      <w:sz w:val="24"/>
      <w:lang w:eastAsia="en-US" w:bidi="ar-SA"/>
    </w:rPr>
  </w:style>
  <w:style w:type="paragraph" w:customStyle="1" w:styleId="pj">
    <w:name w:val="p.j."/>
    <w:basedOn w:val="Normal"/>
    <w:link w:val="pjChar"/>
    <w:rsid w:val="00D02AD8"/>
    <w:pPr>
      <w:spacing w:before="1200" w:after="120" w:line="240" w:lineRule="auto"/>
      <w:ind w:left="1440" w:hanging="1440"/>
    </w:pPr>
    <w:rPr>
      <w:rFonts w:ascii="Times New Roman" w:hAnsi="Times New Roman" w:cs="Times New Roman"/>
      <w:sz w:val="24"/>
    </w:rPr>
  </w:style>
  <w:style w:type="character" w:customStyle="1" w:styleId="pjChar">
    <w:name w:val="p.j. Char"/>
    <w:basedOn w:val="TechnicalBlockChar"/>
    <w:link w:val="pj"/>
    <w:rsid w:val="00D02AD8"/>
    <w:rPr>
      <w:rFonts w:ascii="Times New Roman" w:hAnsi="Times New Roman" w:cs="Times New Roman"/>
      <w:sz w:val="24"/>
    </w:rPr>
  </w:style>
  <w:style w:type="paragraph" w:customStyle="1" w:styleId="nbbordered">
    <w:name w:val="nb bordered"/>
    <w:basedOn w:val="Normal"/>
    <w:link w:val="nbborderedChar"/>
    <w:rsid w:val="00D02AD8"/>
    <w:pPr>
      <w:pBdr>
        <w:top w:val="single" w:sz="4" w:space="1" w:color="auto"/>
        <w:left w:val="single" w:sz="4" w:space="4" w:color="auto"/>
        <w:bottom w:val="single" w:sz="4" w:space="1" w:color="auto"/>
        <w:right w:val="single" w:sz="4" w:space="4" w:color="auto"/>
        <w:between w:val="single" w:sz="4" w:space="0" w:color="auto"/>
      </w:pBdr>
      <w:spacing w:after="160" w:line="240" w:lineRule="auto"/>
      <w:ind w:left="480" w:hanging="480"/>
    </w:pPr>
    <w:rPr>
      <w:rFonts w:ascii="Times New Roman" w:hAnsi="Times New Roman" w:cs="Times New Roman"/>
      <w:b/>
      <w:sz w:val="24"/>
    </w:rPr>
  </w:style>
  <w:style w:type="character" w:customStyle="1" w:styleId="nbborderedChar">
    <w:name w:val="nb bordered Char"/>
    <w:basedOn w:val="TechnicalBlockChar"/>
    <w:link w:val="nbbordered"/>
    <w:rsid w:val="00D02AD8"/>
    <w:rPr>
      <w:rFonts w:ascii="Times New Roman" w:hAnsi="Times New Roman" w:cs="Times New Roman"/>
      <w:b/>
      <w:sz w:val="24"/>
    </w:rPr>
  </w:style>
  <w:style w:type="paragraph" w:customStyle="1" w:styleId="HeaderCouncil">
    <w:name w:val="Header Council"/>
    <w:basedOn w:val="Normal"/>
    <w:link w:val="HeaderCouncilChar"/>
    <w:rsid w:val="00D02AD8"/>
    <w:pPr>
      <w:spacing w:after="0"/>
    </w:pPr>
    <w:rPr>
      <w:sz w:val="2"/>
    </w:rPr>
  </w:style>
  <w:style w:type="character" w:customStyle="1" w:styleId="HeaderCouncilChar">
    <w:name w:val="Header Council Char"/>
    <w:basedOn w:val="Fuentedeprrafopredeter"/>
    <w:link w:val="HeaderCouncil"/>
    <w:rsid w:val="00D02AD8"/>
    <w:rPr>
      <w:sz w:val="2"/>
    </w:rPr>
  </w:style>
  <w:style w:type="paragraph" w:customStyle="1" w:styleId="HeaderCouncilLarge">
    <w:name w:val="Header Council Large"/>
    <w:basedOn w:val="Normal"/>
    <w:link w:val="HeaderCouncilLargeChar"/>
    <w:rsid w:val="00D02AD8"/>
    <w:pPr>
      <w:spacing w:after="440"/>
    </w:pPr>
    <w:rPr>
      <w:sz w:val="2"/>
    </w:rPr>
  </w:style>
  <w:style w:type="character" w:customStyle="1" w:styleId="HeaderCouncilLargeChar">
    <w:name w:val="Header Council Large Char"/>
    <w:basedOn w:val="Fuentedeprrafopredeter"/>
    <w:link w:val="HeaderCouncilLarge"/>
    <w:rsid w:val="00D02AD8"/>
    <w:rPr>
      <w:sz w:val="2"/>
    </w:rPr>
  </w:style>
  <w:style w:type="paragraph" w:customStyle="1" w:styleId="FooterCouncil">
    <w:name w:val="Footer Council"/>
    <w:basedOn w:val="Normal"/>
    <w:link w:val="FooterCouncilChar"/>
    <w:rsid w:val="00D02AD8"/>
    <w:pPr>
      <w:spacing w:after="0"/>
    </w:pPr>
    <w:rPr>
      <w:sz w:val="2"/>
    </w:rPr>
  </w:style>
  <w:style w:type="character" w:customStyle="1" w:styleId="FooterCouncilChar">
    <w:name w:val="Footer Council Char"/>
    <w:basedOn w:val="Fuentedeprrafopredeter"/>
    <w:link w:val="FooterCouncil"/>
    <w:rsid w:val="00D02AD8"/>
    <w:rPr>
      <w:sz w:val="2"/>
    </w:rPr>
  </w:style>
  <w:style w:type="paragraph" w:customStyle="1" w:styleId="FooterText">
    <w:name w:val="Footer Text"/>
    <w:basedOn w:val="Normal"/>
    <w:rsid w:val="00D02AD8"/>
    <w:pPr>
      <w:spacing w:after="0" w:line="240" w:lineRule="auto"/>
    </w:pPr>
    <w:rPr>
      <w:rFonts w:ascii="Times New Roman" w:eastAsia="Times New Roman" w:hAnsi="Times New Roman" w:cs="Times New Roman"/>
      <w:sz w:val="24"/>
      <w:szCs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emf"/><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b4acb1ee-8fb0-4a85-a064-4617d91d957b">JD2AT6XXVRPF-3-50634</_dlc_DocId>
    <_dlc_DocIdUrl xmlns="b4acb1ee-8fb0-4a85-a064-4617d91d957b">
      <Url>http://intranetreper.ue-bru.inet/sitios/iv/_layouts/DocIdRedir.aspx?ID=JD2AT6XXVRPF-3-50634</Url>
      <Description>JD2AT6XXVRPF-3-50634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D77B465C873A24E93D7C99C8AB83C74" ma:contentTypeVersion="0" ma:contentTypeDescription="Crear nuevo documento." ma:contentTypeScope="" ma:versionID="4155c680e3fe1adc85cddd6adea0a1cb">
  <xsd:schema xmlns:xsd="http://www.w3.org/2001/XMLSchema" xmlns:xs="http://www.w3.org/2001/XMLSchema" xmlns:p="http://schemas.microsoft.com/office/2006/metadata/properties" xmlns:ns2="b4acb1ee-8fb0-4a85-a064-4617d91d957b" targetNamespace="http://schemas.microsoft.com/office/2006/metadata/properties" ma:root="true" ma:fieldsID="a2b92ac6d0b3ca0115c64c725dbe282a" ns2:_="">
    <xsd:import namespace="b4acb1ee-8fb0-4a85-a064-4617d91d957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cb1ee-8fb0-4a85-a064-4617d91d957b"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5BAA868-0615-4773-8589-88A82BE66220}"/>
</file>

<file path=customXml/itemProps2.xml><?xml version="1.0" encoding="utf-8"?>
<ds:datastoreItem xmlns:ds="http://schemas.openxmlformats.org/officeDocument/2006/customXml" ds:itemID="{C1FCC7A3-B9EA-4D85-9E9C-1862AAFEF540}"/>
</file>

<file path=customXml/itemProps3.xml><?xml version="1.0" encoding="utf-8"?>
<ds:datastoreItem xmlns:ds="http://schemas.openxmlformats.org/officeDocument/2006/customXml" ds:itemID="{21426F4D-3C0E-4A71-BBB9-8E1383EC7E3F}"/>
</file>

<file path=customXml/itemProps4.xml><?xml version="1.0" encoding="utf-8"?>
<ds:datastoreItem xmlns:ds="http://schemas.openxmlformats.org/officeDocument/2006/customXml" ds:itemID="{B50C5158-D90F-4F49-BFB6-2E4EAD4936A8}"/>
</file>

<file path=docProps/app.xml><?xml version="1.0" encoding="utf-8"?>
<Properties xmlns="http://schemas.openxmlformats.org/officeDocument/2006/extended-properties" xmlns:vt="http://schemas.openxmlformats.org/officeDocument/2006/docPropsVTypes">
  <Template>Normal</Template>
  <TotalTime>0</TotalTime>
  <Pages>7</Pages>
  <Words>2730</Words>
  <Characters>15019</Characters>
  <Application>Microsoft Office Word</Application>
  <DocSecurity>4</DocSecurity>
  <Lines>125</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DQC</dc:creator>
  <cp:lastModifiedBy>DOVAL LOPEZ, Delia</cp:lastModifiedBy>
  <cp:revision>2</cp:revision>
  <cp:lastPrinted>2018-05-29T13:44:00Z</cp:lastPrinted>
  <dcterms:created xsi:type="dcterms:W3CDTF">2018-06-12T09:18:00Z</dcterms:created>
  <dcterms:modified xsi:type="dcterms:W3CDTF">2018-06-12T09:18:00Z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vel of sensitivity">
    <vt:lpwstr>Standard treatment</vt:lpwstr>
  </property>
  <property fmtid="{D5CDD505-2E9C-101B-9397-08002B2CF9AE}" pid="3" name="Part">
    <vt:lpwstr>1</vt:lpwstr>
  </property>
  <property fmtid="{D5CDD505-2E9C-101B-9397-08002B2CF9AE}" pid="4" name="Total parts">
    <vt:lpwstr>1</vt:lpwstr>
  </property>
  <property fmtid="{D5CDD505-2E9C-101B-9397-08002B2CF9AE}" pid="5" name="DocStatus">
    <vt:lpwstr>Green</vt:lpwstr>
  </property>
  <property fmtid="{D5CDD505-2E9C-101B-9397-08002B2CF9AE}" pid="6" name="ContentTypeId">
    <vt:lpwstr>0x0101006D77B465C873A24E93D7C99C8AB83C74</vt:lpwstr>
  </property>
  <property fmtid="{D5CDD505-2E9C-101B-9397-08002B2CF9AE}" pid="7" name="Created using">
    <vt:lpwstr>DocuWrite 4.1.22, Build 20180604</vt:lpwstr>
  </property>
  <property fmtid="{D5CDD505-2E9C-101B-9397-08002B2CF9AE}" pid="8" name="Last edited using">
    <vt:lpwstr>DocuWrite 4.1.22, Build 20180604</vt:lpwstr>
  </property>
  <property fmtid="{D5CDD505-2E9C-101B-9397-08002B2CF9AE}" pid="9" name="_dlc_DocIdItemGuid">
    <vt:lpwstr>b3d1c08f-f619-4a00-b13d-33170d13a064</vt:lpwstr>
  </property>
</Properties>
</file>