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2D35C9" w14:textId="2EDD45A1" w:rsidR="008B1208" w:rsidRPr="007012E8" w:rsidRDefault="00BE412B" w:rsidP="007012E8">
      <w:pPr>
        <w:pStyle w:val="TechnicalBlock"/>
        <w:ind w:left="-1134" w:right="-1134"/>
      </w:pPr>
      <w:bookmarkStart w:id="0" w:name="DW_BM_COVERPAGE"/>
      <w:bookmarkStart w:id="1" w:name="LW_BM_COVERPAGE"/>
      <w:bookmarkStart w:id="2" w:name="_GoBack"/>
      <w:bookmarkEnd w:id="2"/>
      <w:r>
        <w:rPr>
          <w:noProof/>
          <w:lang w:val="es-ES" w:eastAsia="es-ES"/>
        </w:rPr>
        <w:drawing>
          <wp:inline distT="0" distB="0" distL="0" distR="0" wp14:anchorId="1EF0BD3B" wp14:editId="1B874135">
            <wp:extent cx="7219950" cy="6781800"/>
            <wp:effectExtent l="0" t="0" r="0" b="0"/>
            <wp:docPr id="1" name="Imagen 1" descr="Document Cover Page.&#10;Document Number: 9871/18 ADD 5.&#10;Subject Codes: RECH 275 COMPET 425 ATO 33 CADREFIN 82 IA 191.&#10;Heading: PROPOSAL.&#10;Originator: Secretary-General of the European Commission, signed by Mr Jordi AYET PUIGARNAU, Director.&#10;Recipient: Mr Jeppe TRANHOLM-MIKKELSEN, Secretary-General of the Council of the European Union.&#10;Subject: COMMISSION STAFF WORKING DOCUMENT EXECUTIVE SUMMARY OF THE IMPACT ASSESSMENT Accompanying the document Proposals for a REGULATION OF THE EUROPEAN PARLIAMENT AND OF THE COUNCIL establishing Horizon Europe – the Framework Programme for Research and Innovation, laying down its rules for participation and dissemination DECISION OF THE EUROPEAN PARLIAMENT AND OF THE COUNCIL on establishing the specific programme implementing Horizon Europe – the Framework Programme for Research and Innovation COUNCIL REGULATION establishing the Research and Training Programme of the European Atomic Energy Community for the period 2021-2025 complementing Horizon Europe – the Framework Programme for Research and Innovation.&#10;Commission Document Number: SWD(2018) 308 final.&#10;Preceeding Document Number: Not Set.&#10;Location: Brussels.&#10;Date: 8 June 2018.&#10;Interinstitutional Files: 2018/0226 (NLE).&#10;Institutional Framework: Council of the European Union.&#10;Language: EN.&#10;Distribution Code: PUBLIC.&#10;GUID: 5486967145292764202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cument Cover Page.&#10;Document Number: 9871/18 ADD 5.&#10;Subject Codes: RECH 275 COMPET 425 ATO 33 CADREFIN 82 IA 191.&#10;Heading: PROPOSAL.&#10;Originator: Secretary-General of the European Commission, signed by Mr Jordi AYET PUIGARNAU, Director.&#10;Recipient: Mr Jeppe TRANHOLM-MIKKELSEN, Secretary-General of the Council of the European Union.&#10;Subject: COMMISSION STAFF WORKING DOCUMENT EXECUTIVE SUMMARY OF THE IMPACT ASSESSMENT Accompanying the document Proposals for a REGULATION OF THE EUROPEAN PARLIAMENT AND OF THE COUNCIL establishing Horizon Europe – the Framework Programme for Research and Innovation, laying down its rules for participation and dissemination DECISION OF THE EUROPEAN PARLIAMENT AND OF THE COUNCIL on establishing the specific programme implementing Horizon Europe – the Framework Programme for Research and Innovation COUNCIL REGULATION establishing the Research and Training Programme of the European Atomic Energy Community for the period 2021-2025 complementing Horizon Europe – the Framework Programme for Research and Innovation.&#10;Commission Document Number: SWD(2018) 308 final.&#10;Preceeding Document Number: Not Set.&#10;Location: Brussels.&#10;Date: 8 June 2018.&#10;Interinstitutional Files: 2018/0226 (NLE).&#10;Institutional Framework: Council of the European Union.&#10;Language: EN.&#10;Distribution Code: PUBLIC.&#10;GUID: 5486967145292764202_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219950" cy="6781800"/>
                    </a:xfrm>
                    <a:prstGeom prst="rect">
                      <a:avLst/>
                    </a:prstGeom>
                    <a:noFill/>
                    <a:ln>
                      <a:noFill/>
                    </a:ln>
                  </pic:spPr>
                </pic:pic>
              </a:graphicData>
            </a:graphic>
          </wp:inline>
        </w:drawing>
      </w:r>
      <w:bookmarkEnd w:id="0"/>
    </w:p>
    <w:p w14:paraId="23752841" w14:textId="77777777" w:rsidR="008B1208" w:rsidRDefault="008B1208" w:rsidP="007012E8">
      <w:pPr>
        <w:pStyle w:val="EntText"/>
        <w:spacing w:before="480"/>
        <w:rPr>
          <w:lang w:val="en-GB"/>
        </w:rPr>
      </w:pPr>
      <w:r w:rsidRPr="008B1208">
        <w:rPr>
          <w:lang w:val="en-GB"/>
        </w:rPr>
        <w:t xml:space="preserve">Delegations will find attached document </w:t>
      </w:r>
      <w:r>
        <w:rPr>
          <w:lang w:val="en-GB"/>
        </w:rPr>
        <w:fldChar w:fldCharType="begin"/>
      </w:r>
      <w:r>
        <w:rPr>
          <w:lang w:val="en-GB"/>
        </w:rPr>
        <w:instrText xml:space="preserve"> QUOTE "</w:instrText>
      </w:r>
      <w:r>
        <w:rPr>
          <w:lang w:val="en-GB"/>
        </w:rPr>
        <w:fldChar w:fldCharType="begin">
          <w:fldData xml:space="preserve">QwBvAG0AbQBEAG8AYwBzAHwAUwBMAA==
</w:fldData>
        </w:fldChar>
      </w:r>
      <w:r>
        <w:rPr>
          <w:lang w:val="en-GB"/>
        </w:rPr>
        <w:instrText xml:space="preserve"> ADDIN "DocuWrite metadata link" </w:instrText>
      </w:r>
      <w:r>
        <w:rPr>
          <w:lang w:val="en-GB"/>
        </w:rPr>
      </w:r>
      <w:r>
        <w:rPr>
          <w:lang w:val="en-GB"/>
        </w:rPr>
        <w:fldChar w:fldCharType="end"/>
      </w:r>
      <w:r w:rsidR="007012E8" w:rsidRPr="007012E8">
        <w:rPr>
          <w:lang w:val="en-GB"/>
        </w:rPr>
        <w:instrText>SWD(2018) 308 final</w:instrText>
      </w:r>
      <w:r>
        <w:rPr>
          <w:lang w:val="en-GB"/>
        </w:rPr>
        <w:instrText xml:space="preserve">" </w:instrText>
      </w:r>
      <w:r>
        <w:rPr>
          <w:lang w:val="en-GB"/>
        </w:rPr>
        <w:fldChar w:fldCharType="separate"/>
      </w:r>
      <w:r w:rsidR="007012E8" w:rsidRPr="007012E8">
        <w:rPr>
          <w:lang w:val="en-GB"/>
        </w:rPr>
        <w:t>SWD(2018) 308 final</w:t>
      </w:r>
      <w:r>
        <w:rPr>
          <w:lang w:val="en-GB"/>
        </w:rPr>
        <w:fldChar w:fldCharType="end"/>
      </w:r>
      <w:r w:rsidRPr="008B1208">
        <w:rPr>
          <w:lang w:val="en-GB"/>
        </w:rPr>
        <w:t>.</w:t>
      </w:r>
    </w:p>
    <w:p w14:paraId="6095FCFC" w14:textId="77777777" w:rsidR="008B1208" w:rsidRPr="008B1208" w:rsidRDefault="008B1208" w:rsidP="008B1208">
      <w:pPr>
        <w:pStyle w:val="Lignefinal"/>
        <w:rPr>
          <w:lang w:val="en-GB"/>
        </w:rPr>
      </w:pPr>
    </w:p>
    <w:p w14:paraId="7517324D" w14:textId="77777777" w:rsidR="008B1208" w:rsidRDefault="008B1208" w:rsidP="007012E8">
      <w:pPr>
        <w:pStyle w:val="pj"/>
        <w:spacing w:before="120"/>
      </w:pPr>
      <w:r w:rsidRPr="008B1208">
        <w:t xml:space="preserve">Encl.: </w:t>
      </w:r>
      <w:r>
        <w:fldChar w:fldCharType="begin"/>
      </w:r>
      <w:r>
        <w:instrText xml:space="preserve"> QUOTE "</w:instrText>
      </w:r>
      <w:r>
        <w:fldChar w:fldCharType="begin">
          <w:fldData xml:space="preserve">QwBvAG0AbQBEAG8AYwBzAHwAUwBMAA==
</w:fldData>
        </w:fldChar>
      </w:r>
      <w:r>
        <w:instrText xml:space="preserve"> ADDIN "DocuWrite metadata link" </w:instrText>
      </w:r>
      <w:r>
        <w:fldChar w:fldCharType="end"/>
      </w:r>
      <w:r w:rsidR="007012E8" w:rsidRPr="007012E8">
        <w:instrText>SWD(2018) 308 final</w:instrText>
      </w:r>
      <w:r>
        <w:instrText xml:space="preserve">" </w:instrText>
      </w:r>
      <w:r>
        <w:fldChar w:fldCharType="separate"/>
      </w:r>
      <w:r w:rsidR="007012E8" w:rsidRPr="007012E8">
        <w:t>SWD(2018) 308 final</w:t>
      </w:r>
      <w:r>
        <w:fldChar w:fldCharType="end"/>
      </w:r>
    </w:p>
    <w:p w14:paraId="15F19D40" w14:textId="77777777" w:rsidR="008B1208" w:rsidRPr="008B1208" w:rsidRDefault="008B1208" w:rsidP="008B1208"/>
    <w:p w14:paraId="712A5BAA" w14:textId="77777777" w:rsidR="008B1208" w:rsidRPr="008B1208" w:rsidRDefault="008B1208" w:rsidP="008B1208">
      <w:pPr>
        <w:rPr>
          <w:noProof/>
          <w:lang w:val="en-GB"/>
        </w:rPr>
        <w:sectPr w:rsidR="008B1208" w:rsidRPr="008B1208" w:rsidSect="007012E8">
          <w:headerReference w:type="even" r:id="rId12"/>
          <w:headerReference w:type="default" r:id="rId13"/>
          <w:footerReference w:type="even" r:id="rId14"/>
          <w:footerReference w:type="default" r:id="rId15"/>
          <w:headerReference w:type="first" r:id="rId16"/>
          <w:footerReference w:type="first" r:id="rId17"/>
          <w:pgSz w:w="11906" w:h="16838"/>
          <w:pgMar w:top="624" w:right="1134" w:bottom="1134" w:left="1134" w:header="567" w:footer="567" w:gutter="0"/>
          <w:pgNumType w:start="0"/>
          <w:cols w:space="720"/>
          <w:titlePg/>
          <w:docGrid w:linePitch="360"/>
        </w:sectPr>
      </w:pPr>
    </w:p>
    <w:p w14:paraId="010B8A8A" w14:textId="25F54175" w:rsidR="00426509" w:rsidRDefault="00BE412B" w:rsidP="006D554B">
      <w:pPr>
        <w:pStyle w:val="Pagedecouverture"/>
        <w:rPr>
          <w:noProof/>
        </w:rPr>
      </w:pPr>
      <w:r>
        <w:rPr>
          <w:noProof/>
          <w:lang w:val="es-ES" w:eastAsia="es-ES"/>
        </w:rPr>
        <w:lastRenderedPageBreak/>
        <w:drawing>
          <wp:inline distT="0" distB="0" distL="0" distR="0" wp14:anchorId="1498332A" wp14:editId="2DEADB8B">
            <wp:extent cx="5715000" cy="6743700"/>
            <wp:effectExtent l="0" t="0" r="0" b="0"/>
            <wp:docPr id="2" name="Imagen 2" descr="3F08A3BF-C4DA-4900-A179-8C96F581E79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F08A3BF-C4DA-4900-A179-8C96F581E79C"/>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15000" cy="6743700"/>
                    </a:xfrm>
                    <a:prstGeom prst="rect">
                      <a:avLst/>
                    </a:prstGeom>
                    <a:noFill/>
                    <a:ln>
                      <a:noFill/>
                    </a:ln>
                  </pic:spPr>
                </pic:pic>
              </a:graphicData>
            </a:graphic>
          </wp:inline>
        </w:drawing>
      </w:r>
    </w:p>
    <w:bookmarkEnd w:id="1"/>
    <w:p w14:paraId="32CE7453" w14:textId="77777777" w:rsidR="00426509" w:rsidRDefault="00426509">
      <w:pPr>
        <w:rPr>
          <w:noProof/>
        </w:rPr>
        <w:sectPr w:rsidR="00426509" w:rsidSect="006D554B">
          <w:headerReference w:type="even" r:id="rId19"/>
          <w:headerReference w:type="default" r:id="rId20"/>
          <w:footerReference w:type="even" r:id="rId21"/>
          <w:footerReference w:type="default" r:id="rId22"/>
          <w:headerReference w:type="first" r:id="rId23"/>
          <w:footerReference w:type="first" r:id="rId24"/>
          <w:pgSz w:w="11906" w:h="16838"/>
          <w:pgMar w:top="1134" w:right="1417" w:bottom="1134" w:left="1417" w:header="709" w:footer="709" w:gutter="0"/>
          <w:pgNumType w:start="0"/>
          <w:cols w:space="720"/>
          <w:docGrid w:linePitch="360"/>
        </w:sectPr>
      </w:pPr>
    </w:p>
    <w:p w14:paraId="355163BA" w14:textId="77777777" w:rsidR="00426509" w:rsidRDefault="006D554B">
      <w:pPr>
        <w:pStyle w:val="Ttulo1"/>
        <w:numPr>
          <w:ilvl w:val="0"/>
          <w:numId w:val="0"/>
        </w:numPr>
        <w:ind w:left="432" w:hanging="432"/>
        <w:rPr>
          <w:noProof/>
          <w:szCs w:val="24"/>
        </w:rPr>
      </w:pPr>
      <w:r>
        <w:rPr>
          <w:noProof/>
          <w:szCs w:val="24"/>
        </w:rPr>
        <w:lastRenderedPageBreak/>
        <w:t>Executive Summary</w:t>
      </w:r>
    </w:p>
    <w:p w14:paraId="0E6BB82B" w14:textId="77777777" w:rsidR="00426509" w:rsidRDefault="006D554B">
      <w:pPr>
        <w:spacing w:after="120" w:line="240" w:lineRule="auto"/>
        <w:jc w:val="both"/>
        <w:rPr>
          <w:rFonts w:ascii="Times New Roman" w:eastAsia="Times New Roman" w:hAnsi="Times New Roman" w:cs="Times New Roman"/>
          <w:noProof/>
          <w:sz w:val="24"/>
          <w:szCs w:val="24"/>
          <w:lang w:val="en-GB"/>
        </w:rPr>
      </w:pPr>
      <w:r>
        <w:rPr>
          <w:rFonts w:ascii="Times New Roman" w:eastAsia="Times New Roman" w:hAnsi="Times New Roman" w:cs="Times New Roman"/>
          <w:noProof/>
          <w:sz w:val="24"/>
          <w:szCs w:val="24"/>
          <w:lang w:val="en-GB"/>
        </w:rPr>
        <w:t>This impact assessment accompanies the Commission proposal for Horizon Europe, the 2021-2027 Framework Programme for EU Research and Innovation, which will succeed the current Programme, Horizon 2020 (active between 2014-2020), and the proposal for the 2021-2025 Research and Training Programme of the European Atomic Energy Community (Euratom Programme).</w:t>
      </w:r>
    </w:p>
    <w:p w14:paraId="5585006E" w14:textId="77777777" w:rsidR="00426509" w:rsidRDefault="006D554B">
      <w:pPr>
        <w:spacing w:after="120" w:line="240" w:lineRule="auto"/>
        <w:jc w:val="both"/>
        <w:rPr>
          <w:rFonts w:ascii="Times New Roman" w:eastAsia="Times New Roman" w:hAnsi="Times New Roman" w:cs="Times New Roman"/>
          <w:noProof/>
          <w:sz w:val="24"/>
          <w:szCs w:val="24"/>
          <w:lang w:val="en-GB"/>
        </w:rPr>
      </w:pPr>
      <w:r>
        <w:rPr>
          <w:rFonts w:ascii="Times New Roman" w:eastAsia="Times New Roman" w:hAnsi="Times New Roman" w:cs="Times New Roman"/>
          <w:b/>
          <w:noProof/>
          <w:sz w:val="24"/>
          <w:szCs w:val="24"/>
          <w:lang w:val="en-GB"/>
        </w:rPr>
        <w:t>Research and innovation help Europe</w:t>
      </w:r>
      <w:r>
        <w:rPr>
          <w:rFonts w:ascii="Times New Roman" w:eastAsia="Times New Roman" w:hAnsi="Times New Roman" w:cs="Times New Roman"/>
          <w:noProof/>
          <w:sz w:val="24"/>
          <w:szCs w:val="24"/>
          <w:lang w:val="en-GB"/>
        </w:rPr>
        <w:t xml:space="preserve"> deliver on citizens' priorities, as embodied in the Sustainable Development Goals and in the Paris Agreement on fighting climate change, to bring about sustainable growth and high-quality jobs, and to solve present and unforeseen global challenges. However, Europe overall currently underinvests in research and innovation compared to its main trading partners, and so risks being irreversibly outpaced.</w:t>
      </w:r>
    </w:p>
    <w:p w14:paraId="6A6E63FF" w14:textId="77777777" w:rsidR="00426509" w:rsidRDefault="006D554B">
      <w:pPr>
        <w:spacing w:after="120" w:line="240" w:lineRule="auto"/>
        <w:jc w:val="both"/>
        <w:rPr>
          <w:rFonts w:ascii="Times New Roman" w:eastAsia="Times New Roman" w:hAnsi="Times New Roman" w:cs="Times New Roman"/>
          <w:noProof/>
          <w:sz w:val="24"/>
          <w:szCs w:val="24"/>
          <w:lang w:val="en-GB"/>
        </w:rPr>
      </w:pPr>
      <w:r>
        <w:rPr>
          <w:rFonts w:ascii="Times New Roman" w:eastAsia="Times New Roman" w:hAnsi="Times New Roman" w:cs="Times New Roman"/>
          <w:b/>
          <w:noProof/>
          <w:sz w:val="24"/>
          <w:szCs w:val="24"/>
          <w:lang w:val="en-GB"/>
        </w:rPr>
        <w:t>EU-level investment, through successive Framework Programmes, has supported the provision of public goods with a high European added value</w:t>
      </w:r>
      <w:r>
        <w:rPr>
          <w:rFonts w:ascii="Times New Roman" w:eastAsia="Times New Roman" w:hAnsi="Times New Roman" w:cs="Times New Roman"/>
          <w:noProof/>
          <w:sz w:val="24"/>
          <w:szCs w:val="24"/>
          <w:lang w:val="en-GB"/>
        </w:rPr>
        <w:t xml:space="preserve">. This added value comes from the Programmes’ focus on excellence through EU-wide competition and cooperation. Framework Programmes support training and mobility for scientists, create transnational, cross-sectoral and multidisciplinary collaborations, leverage additional public and private investment, build the scientific evidence necessary for EU policies, and have structuring effects on national research and innovation systems. The significant and long-lasting impact of the Framework Programmes, in particular the current Programme, is acknowledged by the EU institutions, Member States and stakeholders alike. </w:t>
      </w:r>
    </w:p>
    <w:p w14:paraId="27FF22AD" w14:textId="77777777" w:rsidR="00426509" w:rsidRDefault="006D554B">
      <w:pPr>
        <w:spacing w:after="120" w:line="240" w:lineRule="auto"/>
        <w:jc w:val="both"/>
        <w:rPr>
          <w:rFonts w:ascii="Times New Roman" w:eastAsia="Times New Roman" w:hAnsi="Times New Roman" w:cs="Times New Roman"/>
          <w:noProof/>
          <w:sz w:val="24"/>
          <w:szCs w:val="24"/>
          <w:lang w:val="en-GB"/>
        </w:rPr>
      </w:pPr>
      <w:r>
        <w:rPr>
          <w:rFonts w:ascii="Times New Roman" w:eastAsia="Times New Roman" w:hAnsi="Times New Roman" w:cs="Times New Roman"/>
          <w:b/>
          <w:noProof/>
          <w:sz w:val="24"/>
          <w:szCs w:val="24"/>
          <w:lang w:val="en-GB"/>
        </w:rPr>
        <w:t>Horizon Europe is built on the evidence and lessons learnt from the Horizon 2020 interim evaluation</w:t>
      </w:r>
      <w:r>
        <w:rPr>
          <w:rFonts w:ascii="Times New Roman" w:eastAsia="Times New Roman" w:hAnsi="Times New Roman" w:cs="Times New Roman"/>
          <w:noProof/>
          <w:sz w:val="24"/>
          <w:szCs w:val="24"/>
          <w:lang w:val="en-GB"/>
        </w:rPr>
        <w:t>, and the recommendations of the independent High-Level Group on maximising the impact of EU research and innovation. The new Programme will be an evolution, not a revolution, focusing on a few design improvements to further increase openness and impact.</w:t>
      </w:r>
    </w:p>
    <w:p w14:paraId="01E2160D" w14:textId="77777777" w:rsidR="00426509" w:rsidRDefault="006D554B">
      <w:pPr>
        <w:spacing w:after="120" w:line="240" w:lineRule="auto"/>
        <w:jc w:val="both"/>
        <w:rPr>
          <w:rFonts w:ascii="Times New Roman" w:eastAsia="Times New Roman" w:hAnsi="Times New Roman" w:cs="Times New Roman"/>
          <w:noProof/>
          <w:sz w:val="24"/>
          <w:szCs w:val="24"/>
          <w:lang w:val="en-GB"/>
        </w:rPr>
      </w:pPr>
      <w:r>
        <w:rPr>
          <w:rFonts w:ascii="Times New Roman" w:eastAsia="Times New Roman" w:hAnsi="Times New Roman" w:cs="Times New Roman"/>
          <w:b/>
          <w:noProof/>
          <w:sz w:val="24"/>
          <w:szCs w:val="24"/>
          <w:lang w:val="en-GB"/>
        </w:rPr>
        <w:t>Horizon Europe’s general objectives stem from the Treaty on the Functioning of the European Union</w:t>
      </w:r>
      <w:r>
        <w:rPr>
          <w:rFonts w:ascii="Times New Roman" w:eastAsia="Times New Roman" w:hAnsi="Times New Roman" w:cs="Times New Roman"/>
          <w:noProof/>
          <w:sz w:val="24"/>
          <w:szCs w:val="24"/>
          <w:lang w:val="en-GB"/>
        </w:rPr>
        <w:t xml:space="preserve">. These will be: to strengthen the scientific and technological bases of the Union and foster its competitiveness, including for its industry; to deliver on the EU's strategic policy priorities and contribute to tackling global challenges, including the Sustainable Development Goals. To address particular research and innovation challenges faced by the EU, Horizon Europe also has specific objectives. All objectives apply across the Programme, and all individual Programme parts will contribute to their achievement. </w:t>
      </w:r>
    </w:p>
    <w:p w14:paraId="5974A3F9" w14:textId="77777777" w:rsidR="00426509" w:rsidRDefault="006D554B">
      <w:pPr>
        <w:spacing w:after="120" w:line="240" w:lineRule="auto"/>
        <w:jc w:val="both"/>
        <w:rPr>
          <w:rFonts w:ascii="Times New Roman" w:eastAsia="Times New Roman" w:hAnsi="Times New Roman" w:cs="Times New Roman"/>
          <w:noProof/>
          <w:sz w:val="24"/>
          <w:szCs w:val="24"/>
          <w:lang w:val="en-GB"/>
        </w:rPr>
      </w:pPr>
      <w:r>
        <w:rPr>
          <w:rFonts w:ascii="Times New Roman" w:eastAsia="Times New Roman" w:hAnsi="Times New Roman" w:cs="Times New Roman"/>
          <w:b/>
          <w:noProof/>
          <w:sz w:val="24"/>
          <w:szCs w:val="24"/>
          <w:lang w:val="en-GB"/>
        </w:rPr>
        <w:t xml:space="preserve">The evolution from Horizon 2020 is reflected in the revamped structure. </w:t>
      </w:r>
      <w:r>
        <w:rPr>
          <w:rFonts w:ascii="Times New Roman" w:eastAsia="Times New Roman" w:hAnsi="Times New Roman" w:cs="Times New Roman"/>
          <w:noProof/>
          <w:sz w:val="24"/>
          <w:szCs w:val="24"/>
          <w:lang w:val="en-GB"/>
        </w:rPr>
        <w:t xml:space="preserve">The three-pillar structure will be continued, but redesigned for more coherence, both between and within pillars, in support of the Programme objectives. </w:t>
      </w:r>
    </w:p>
    <w:p w14:paraId="6AC36A96" w14:textId="77777777" w:rsidR="00426509" w:rsidRDefault="006D554B">
      <w:pPr>
        <w:spacing w:after="120" w:line="240" w:lineRule="auto"/>
        <w:jc w:val="both"/>
        <w:rPr>
          <w:rFonts w:ascii="Times New Roman" w:eastAsia="Times New Roman" w:hAnsi="Times New Roman" w:cs="Times New Roman"/>
          <w:noProof/>
          <w:sz w:val="24"/>
          <w:szCs w:val="24"/>
          <w:lang w:val="en-GB"/>
        </w:rPr>
      </w:pPr>
      <w:r>
        <w:rPr>
          <w:rFonts w:ascii="Times New Roman" w:eastAsia="Times New Roman" w:hAnsi="Times New Roman" w:cs="Times New Roman"/>
          <w:b/>
          <w:noProof/>
          <w:sz w:val="24"/>
          <w:szCs w:val="24"/>
          <w:lang w:val="en-GB"/>
        </w:rPr>
        <w:t>Pillar 1 - Open Science</w:t>
      </w:r>
      <w:r>
        <w:rPr>
          <w:rFonts w:ascii="Times New Roman" w:eastAsia="Times New Roman" w:hAnsi="Times New Roman" w:cs="Times New Roman"/>
          <w:i/>
          <w:noProof/>
          <w:sz w:val="24"/>
          <w:szCs w:val="24"/>
          <w:lang w:val="en-GB"/>
        </w:rPr>
        <w:t xml:space="preserve"> </w:t>
      </w:r>
      <w:r>
        <w:rPr>
          <w:rFonts w:ascii="Times New Roman" w:eastAsia="Times New Roman" w:hAnsi="Times New Roman" w:cs="Times New Roman"/>
          <w:noProof/>
          <w:sz w:val="24"/>
          <w:szCs w:val="24"/>
          <w:lang w:val="en-GB"/>
        </w:rPr>
        <w:t xml:space="preserve">will continue to focus on excellent science and high-quality knowledge to strengthen EU’s science base through the European Research Council, Marie-Skłodowska Curie Actions and Research Infrastructures. As a "bottom-up", investigator-driven pillar, it will continue to give the scientific community a strong role. </w:t>
      </w:r>
    </w:p>
    <w:p w14:paraId="65DCF93F" w14:textId="77777777" w:rsidR="00426509" w:rsidRDefault="006D554B">
      <w:pPr>
        <w:spacing w:after="120" w:line="240" w:lineRule="auto"/>
        <w:jc w:val="both"/>
        <w:rPr>
          <w:rFonts w:ascii="Times New Roman" w:eastAsia="Times New Roman" w:hAnsi="Times New Roman" w:cs="Times New Roman"/>
          <w:noProof/>
          <w:sz w:val="24"/>
          <w:szCs w:val="24"/>
          <w:lang w:val="en-GB"/>
        </w:rPr>
      </w:pPr>
      <w:r>
        <w:rPr>
          <w:rFonts w:ascii="Times New Roman" w:eastAsia="Times New Roman" w:hAnsi="Times New Roman" w:cs="Times New Roman"/>
          <w:b/>
          <w:noProof/>
          <w:sz w:val="24"/>
          <w:szCs w:val="24"/>
          <w:lang w:val="en-GB"/>
        </w:rPr>
        <w:t>Pillar 2 - Global Challenges and Industrial Competitiveness</w:t>
      </w:r>
      <w:r>
        <w:rPr>
          <w:rFonts w:ascii="Times New Roman" w:eastAsia="Times New Roman" w:hAnsi="Times New Roman" w:cs="Times New Roman"/>
          <w:noProof/>
          <w:sz w:val="24"/>
          <w:szCs w:val="24"/>
          <w:lang w:val="en-GB"/>
        </w:rPr>
        <w:t xml:space="preserve"> will better address EU policy priorities and support industrial competitiveness by integrating the Horizon 2020 </w:t>
      </w:r>
      <w:r>
        <w:rPr>
          <w:rFonts w:ascii="Times New Roman" w:eastAsia="Times New Roman" w:hAnsi="Times New Roman" w:cs="Times New Roman"/>
          <w:i/>
          <w:noProof/>
          <w:sz w:val="24"/>
          <w:szCs w:val="24"/>
          <w:lang w:val="en-GB"/>
        </w:rPr>
        <w:t>Societal Challenges</w:t>
      </w:r>
      <w:r>
        <w:rPr>
          <w:rFonts w:ascii="Times New Roman" w:eastAsia="Times New Roman" w:hAnsi="Times New Roman" w:cs="Times New Roman"/>
          <w:noProof/>
          <w:sz w:val="24"/>
          <w:szCs w:val="24"/>
          <w:lang w:val="en-GB"/>
        </w:rPr>
        <w:t xml:space="preserve"> and </w:t>
      </w:r>
      <w:r>
        <w:rPr>
          <w:rFonts w:ascii="Times New Roman" w:eastAsia="Times New Roman" w:hAnsi="Times New Roman" w:cs="Times New Roman"/>
          <w:i/>
          <w:noProof/>
          <w:sz w:val="24"/>
          <w:szCs w:val="24"/>
          <w:lang w:val="en-GB"/>
        </w:rPr>
        <w:t>Leadership in Enabling Industrial Technologies</w:t>
      </w:r>
      <w:r>
        <w:rPr>
          <w:rFonts w:ascii="Times New Roman" w:eastAsia="Times New Roman" w:hAnsi="Times New Roman" w:cs="Times New Roman"/>
          <w:noProof/>
          <w:sz w:val="24"/>
          <w:szCs w:val="24"/>
          <w:lang w:val="en-GB"/>
        </w:rPr>
        <w:t xml:space="preserve"> into five clusters (i.e. Health; Resilience and Security; Digital and Industry; Climate, Energy and Mobility; and Food and natural resources). The clusters will </w:t>
      </w:r>
      <w:r>
        <w:rPr>
          <w:rFonts w:ascii="Times New Roman" w:hAnsi="Times New Roman" w:cs="Times New Roman"/>
          <w:noProof/>
          <w:sz w:val="24"/>
          <w:szCs w:val="24"/>
          <w:lang w:val="en-GB"/>
        </w:rPr>
        <w:t xml:space="preserve">better </w:t>
      </w:r>
      <w:r>
        <w:rPr>
          <w:rFonts w:ascii="Times New Roman" w:eastAsia="Times New Roman" w:hAnsi="Times New Roman" w:cs="Times New Roman"/>
          <w:noProof/>
          <w:sz w:val="24"/>
          <w:szCs w:val="24"/>
          <w:lang w:val="en-GB"/>
        </w:rPr>
        <w:t xml:space="preserve">support the full spectrum of the Sustainable Development Goals, and increase collaborative research and innovation across sectors, disciplines and policy fields – boosting flexibility, focus, and impact. Due to its policy focus, the pillar will be implemented "top-down", through a strategic planning process ensuring the </w:t>
      </w:r>
      <w:r>
        <w:rPr>
          <w:rFonts w:ascii="Times New Roman" w:eastAsia="Times New Roman" w:hAnsi="Times New Roman" w:cs="Times New Roman"/>
          <w:noProof/>
          <w:sz w:val="24"/>
          <w:szCs w:val="24"/>
          <w:lang w:val="en-GB"/>
        </w:rPr>
        <w:lastRenderedPageBreak/>
        <w:t xml:space="preserve">involvement of stakeholders and society, and alignment with Member States' activities. The pillar will give appropriate visibility to industry’s essential role in achieving all the Programme’s objectives, not least in tackling global challenges, including by developing key enabling technologies for the future. </w:t>
      </w:r>
    </w:p>
    <w:p w14:paraId="6952D048" w14:textId="77777777" w:rsidR="00426509" w:rsidRDefault="006D554B">
      <w:pPr>
        <w:spacing w:after="120" w:line="240" w:lineRule="auto"/>
        <w:jc w:val="both"/>
        <w:rPr>
          <w:rFonts w:ascii="Times New Roman" w:eastAsia="Times New Roman" w:hAnsi="Times New Roman" w:cs="Times New Roman"/>
          <w:noProof/>
          <w:sz w:val="24"/>
          <w:szCs w:val="24"/>
          <w:lang w:val="en-GB"/>
        </w:rPr>
      </w:pPr>
      <w:r>
        <w:rPr>
          <w:rFonts w:ascii="Times New Roman" w:eastAsia="Times New Roman" w:hAnsi="Times New Roman" w:cs="Times New Roman"/>
          <w:b/>
          <w:noProof/>
          <w:sz w:val="24"/>
          <w:szCs w:val="24"/>
          <w:lang w:val="en-GB"/>
        </w:rPr>
        <w:t>Pillar 3 – Open Innovation</w:t>
      </w:r>
      <w:r>
        <w:rPr>
          <w:rFonts w:ascii="Times New Roman" w:eastAsia="Times New Roman" w:hAnsi="Times New Roman" w:cs="Times New Roman"/>
          <w:noProof/>
          <w:sz w:val="24"/>
          <w:szCs w:val="24"/>
          <w:lang w:val="en-GB"/>
        </w:rPr>
        <w:t xml:space="preserve"> will offer a one-stop shop for high-potential innovators with the European Innovation Council and increase cooperation with innovation ecosystems and actors. These activities will be determined largely "bottom-up", integrating and reorganising Horizon 2020 activities, such as Innovation in SMEs (notably the SME instrument), Fast-track to Innovation, as well as Future and Emerging Technologies. Innovation will continue to be supported throughout the whole Programme, not just in this innovation-focussed pillar. </w:t>
      </w:r>
    </w:p>
    <w:p w14:paraId="290D57AA" w14:textId="77777777" w:rsidR="00426509" w:rsidRDefault="006D554B">
      <w:pPr>
        <w:spacing w:after="120" w:line="240" w:lineRule="auto"/>
        <w:jc w:val="both"/>
        <w:rPr>
          <w:rFonts w:ascii="Times New Roman" w:eastAsia="Times New Roman" w:hAnsi="Times New Roman" w:cs="Times New Roman"/>
          <w:noProof/>
          <w:sz w:val="24"/>
          <w:szCs w:val="24"/>
          <w:lang w:val="en-GB"/>
        </w:rPr>
      </w:pPr>
      <w:r>
        <w:rPr>
          <w:rFonts w:ascii="Times New Roman" w:eastAsia="Times New Roman" w:hAnsi="Times New Roman" w:cs="Times New Roman"/>
          <w:b/>
          <w:noProof/>
          <w:sz w:val="24"/>
          <w:szCs w:val="24"/>
          <w:lang w:val="en-GB"/>
        </w:rPr>
        <w:t>Horizon Europe will reinforce the European Research Area</w:t>
      </w:r>
      <w:r>
        <w:rPr>
          <w:rFonts w:ascii="Times New Roman" w:eastAsia="Times New Roman" w:hAnsi="Times New Roman" w:cs="Times New Roman"/>
          <w:noProof/>
          <w:sz w:val="24"/>
          <w:szCs w:val="24"/>
          <w:lang w:val="en-GB"/>
        </w:rPr>
        <w:t xml:space="preserve"> through: Sharing excellence (extending the Horizon 2020 actions that help tackle low research and innovation performance i.e. Teaming, Twinning, ERA chairs, and COST); research and innovation reforms and policy, covering the Policy Support Facility; foresight activities; and Framework Programme monitoring, evaluation, dissemination and exploitation of results</w:t>
      </w:r>
    </w:p>
    <w:p w14:paraId="7FE8D1BF" w14:textId="77777777" w:rsidR="00426509" w:rsidRDefault="006D554B">
      <w:pPr>
        <w:spacing w:after="120" w:line="240" w:lineRule="auto"/>
        <w:jc w:val="both"/>
        <w:rPr>
          <w:rFonts w:ascii="Times New Roman" w:eastAsia="Times New Roman" w:hAnsi="Times New Roman" w:cs="Times New Roman"/>
          <w:noProof/>
          <w:sz w:val="24"/>
          <w:szCs w:val="24"/>
          <w:lang w:val="en-GB"/>
        </w:rPr>
      </w:pPr>
      <w:r>
        <w:rPr>
          <w:rFonts w:ascii="Times New Roman" w:eastAsia="Times New Roman" w:hAnsi="Times New Roman" w:cs="Times New Roman"/>
          <w:b/>
          <w:noProof/>
          <w:sz w:val="24"/>
          <w:szCs w:val="24"/>
          <w:lang w:val="en-GB"/>
        </w:rPr>
        <w:t xml:space="preserve">The new Programme will also have some new features and enhancements </w:t>
      </w:r>
      <w:r>
        <w:rPr>
          <w:rFonts w:ascii="Times New Roman" w:eastAsia="Times New Roman" w:hAnsi="Times New Roman" w:cs="Times New Roman"/>
          <w:noProof/>
          <w:sz w:val="24"/>
          <w:szCs w:val="24"/>
          <w:lang w:val="en-GB"/>
        </w:rPr>
        <w:t xml:space="preserve">of existing elements. With Horizon 2020 well on track to deliver excellence, impact and openness, these changes will make the successor Programme achieve even more impact (through the European Innovation Council and mission-orientation) and more openness (through strengthened international cooperation, a reinforced Open Science policy, and a new policy approach to European Partnerships). </w:t>
      </w:r>
    </w:p>
    <w:p w14:paraId="21C3870C" w14:textId="77777777" w:rsidR="00426509" w:rsidRDefault="006D554B">
      <w:pPr>
        <w:spacing w:after="120" w:line="240" w:lineRule="auto"/>
        <w:jc w:val="both"/>
        <w:rPr>
          <w:rFonts w:ascii="Times New Roman" w:eastAsia="Times New Roman" w:hAnsi="Times New Roman" w:cs="Times New Roman"/>
          <w:noProof/>
          <w:sz w:val="24"/>
          <w:szCs w:val="24"/>
          <w:lang w:val="en-GB" w:eastAsia="en-GB"/>
        </w:rPr>
      </w:pPr>
      <w:r>
        <w:rPr>
          <w:rFonts w:ascii="Times New Roman" w:eastAsia="Times New Roman" w:hAnsi="Times New Roman" w:cs="Times New Roman"/>
          <w:b/>
          <w:noProof/>
          <w:sz w:val="24"/>
          <w:szCs w:val="24"/>
          <w:lang w:val="en-GB"/>
        </w:rPr>
        <w:t>The European Innovation Council</w:t>
      </w:r>
      <w:r>
        <w:rPr>
          <w:rFonts w:ascii="Times New Roman" w:eastAsia="Times New Roman" w:hAnsi="Times New Roman" w:cs="Times New Roman"/>
          <w:noProof/>
          <w:sz w:val="24"/>
          <w:szCs w:val="24"/>
          <w:lang w:val="en-GB"/>
        </w:rPr>
        <w:t xml:space="preserve"> will help place the EU in the lead for breakthrough market-creating innovation. It will support high-risk, market-creating innovation projects that do not (yet) generate revenues, to bridge the “valley of death” between research and commercialisation and help companies scale up. The tailor-made support to innovators will be channelled through two main funding instruments. The Pathfinder for Advanced Research will provide grants from the early technology stage (proof of concept, technology validation) to the early commercial stage (early demonstration, development of business case and development of strategy). The Accelerator will support the further development and market deployment of breakthrough and market-creating innovations, to a stage where they can be financed on usual commercial terms by investors (from demonstration, user testing, pre-commercial production and beyond, including scale-up). It will place a particular emphasis on innovation generated within the Pathfinder, although it will also fund projects from other parts of the Programme, such as the European Research Council or the Knowledge and Innovation Communities. The expected implications of the role played by the European Innovation Council include more innovation that creates the new markets of the future, more companies that scale up in Europe, higher growth among SMEs, and more entrepreneurship and risk-taking.</w:t>
      </w:r>
    </w:p>
    <w:p w14:paraId="6520982C" w14:textId="77777777" w:rsidR="00426509" w:rsidRDefault="006D554B">
      <w:pPr>
        <w:spacing w:after="120" w:line="240" w:lineRule="auto"/>
        <w:jc w:val="both"/>
        <w:rPr>
          <w:rFonts w:ascii="Times New Roman" w:eastAsia="Times New Roman" w:hAnsi="Times New Roman" w:cs="Times New Roman"/>
          <w:noProof/>
          <w:sz w:val="24"/>
          <w:szCs w:val="24"/>
          <w:lang w:val="en-GB"/>
        </w:rPr>
      </w:pPr>
      <w:r>
        <w:rPr>
          <w:rFonts w:ascii="Times New Roman" w:eastAsia="Times New Roman" w:hAnsi="Times New Roman" w:cs="Times New Roman"/>
          <w:b/>
          <w:noProof/>
          <w:sz w:val="24"/>
          <w:szCs w:val="24"/>
          <w:lang w:val="en-GB"/>
        </w:rPr>
        <w:t>Horizon Europe will see the introduction of a limited set of highly visible research and innovation ‘missions’</w:t>
      </w:r>
      <w:r>
        <w:rPr>
          <w:rFonts w:ascii="Times New Roman" w:eastAsia="Times New Roman" w:hAnsi="Times New Roman" w:cs="Times New Roman"/>
          <w:noProof/>
          <w:sz w:val="24"/>
          <w:szCs w:val="24"/>
          <w:lang w:val="en-GB"/>
        </w:rPr>
        <w:t xml:space="preserve"> under Pillar 2 (but potentially also providing direction to the other pillars). Missions will prioritise investment and set directions to achieve objectives with societal relevance, thereby</w:t>
      </w:r>
      <w:r>
        <w:rPr>
          <w:rFonts w:ascii="Times New Roman" w:eastAsia="Calibri" w:hAnsi="Times New Roman" w:cs="Times New Roman"/>
          <w:noProof/>
          <w:sz w:val="24"/>
          <w:szCs w:val="24"/>
          <w:lang w:val="en-GB"/>
        </w:rPr>
        <w:t xml:space="preserve"> creating more impact and outreach, encouraging a systemic approach (</w:t>
      </w:r>
      <w:r>
        <w:rPr>
          <w:rFonts w:ascii="Times New Roman" w:eastAsia="Times New Roman" w:hAnsi="Times New Roman" w:cs="Times New Roman"/>
          <w:bCs/>
          <w:noProof/>
          <w:sz w:val="24"/>
          <w:szCs w:val="24"/>
          <w:lang w:val="en-GB"/>
        </w:rPr>
        <w:t>moving from a view of narrow sectors to entire systems</w:t>
      </w:r>
      <w:r>
        <w:rPr>
          <w:rFonts w:ascii="Times New Roman" w:eastAsia="Calibri" w:hAnsi="Times New Roman" w:cs="Times New Roman"/>
          <w:noProof/>
          <w:sz w:val="24"/>
          <w:szCs w:val="24"/>
          <w:lang w:val="en-GB"/>
        </w:rPr>
        <w:t xml:space="preserve">), and aligning instruments and agendas for research and innovation across Europe. </w:t>
      </w:r>
      <w:r>
        <w:rPr>
          <w:rFonts w:ascii="Times New Roman" w:eastAsia="Times New Roman" w:hAnsi="Times New Roman" w:cs="Times New Roman"/>
          <w:bCs/>
          <w:noProof/>
          <w:sz w:val="24"/>
          <w:szCs w:val="24"/>
          <w:lang w:val="en-GB"/>
        </w:rPr>
        <w:t>Missions will either accelerate progress towards a set scientific, technical or societal solution, by focusing large investment on a specific target; or transform an entire social or industrial system within an established timeframe.</w:t>
      </w:r>
      <w:r>
        <w:rPr>
          <w:rFonts w:ascii="Times New Roman" w:eastAsia="Times New Roman" w:hAnsi="Times New Roman" w:cs="Times New Roman"/>
          <w:noProof/>
          <w:sz w:val="24"/>
          <w:szCs w:val="24"/>
          <w:lang w:val="en-GB"/>
        </w:rPr>
        <w:t xml:space="preserve"> </w:t>
      </w:r>
      <w:r>
        <w:rPr>
          <w:rFonts w:ascii="Times New Roman" w:eastAsia="Times New Roman" w:hAnsi="Times New Roman" w:cs="Times New Roman"/>
          <w:bCs/>
          <w:noProof/>
          <w:sz w:val="24"/>
          <w:szCs w:val="24"/>
          <w:lang w:val="en-GB"/>
        </w:rPr>
        <w:t xml:space="preserve">They will be selected after the Programme launch, according </w:t>
      </w:r>
      <w:r>
        <w:rPr>
          <w:rFonts w:ascii="Times New Roman" w:eastAsia="Times New Roman" w:hAnsi="Times New Roman" w:cs="Times New Roman"/>
          <w:bCs/>
          <w:noProof/>
          <w:color w:val="000000"/>
          <w:sz w:val="24"/>
          <w:szCs w:val="24"/>
          <w:lang w:val="en-GB"/>
        </w:rPr>
        <w:t xml:space="preserve">to strict selection criteria, and </w:t>
      </w:r>
      <w:r>
        <w:rPr>
          <w:rFonts w:ascii="Times New Roman" w:eastAsia="Times New Roman" w:hAnsi="Times New Roman" w:cs="Times New Roman"/>
          <w:noProof/>
          <w:sz w:val="24"/>
          <w:szCs w:val="24"/>
          <w:lang w:val="en-GB"/>
        </w:rPr>
        <w:t xml:space="preserve">co-designed with Member States, stakeholders and citizens. The expected implications of this new mission approach include more cross-sectoral and cross-disciplinary </w:t>
      </w:r>
      <w:r>
        <w:rPr>
          <w:rFonts w:ascii="Times New Roman" w:eastAsia="Times New Roman" w:hAnsi="Times New Roman" w:cs="Times New Roman"/>
          <w:noProof/>
          <w:sz w:val="24"/>
          <w:szCs w:val="24"/>
          <w:lang w:val="en-GB"/>
        </w:rPr>
        <w:lastRenderedPageBreak/>
        <w:t>cooperation, higher impact on global challenges and EU priorities, and a reduced gap between science and innovation, and society.</w:t>
      </w:r>
    </w:p>
    <w:p w14:paraId="2E7AAE65" w14:textId="77777777" w:rsidR="00426509" w:rsidRDefault="006D554B">
      <w:pPr>
        <w:spacing w:after="120" w:line="240" w:lineRule="auto"/>
        <w:jc w:val="both"/>
        <w:rPr>
          <w:rFonts w:ascii="Times New Roman" w:eastAsia="Times New Roman" w:hAnsi="Times New Roman" w:cs="Times New Roman"/>
          <w:noProof/>
          <w:sz w:val="24"/>
          <w:szCs w:val="24"/>
          <w:lang w:val="en-GB" w:eastAsia="en-GB"/>
        </w:rPr>
      </w:pPr>
      <w:r>
        <w:rPr>
          <w:rFonts w:ascii="Times New Roman" w:eastAsia="Times New Roman" w:hAnsi="Times New Roman" w:cs="Times New Roman"/>
          <w:b/>
          <w:noProof/>
          <w:sz w:val="24"/>
          <w:szCs w:val="24"/>
          <w:lang w:val="en-GB"/>
        </w:rPr>
        <w:t>Strengthened international cooperation</w:t>
      </w:r>
      <w:r>
        <w:rPr>
          <w:rFonts w:ascii="Times New Roman" w:eastAsia="Times New Roman" w:hAnsi="Times New Roman" w:cs="Times New Roman"/>
          <w:noProof/>
          <w:sz w:val="24"/>
          <w:szCs w:val="24"/>
          <w:lang w:val="en-GB"/>
        </w:rPr>
        <w:t xml:space="preserve"> is vital for ensuring access to talent, knowledge, facilities and markets worldwide, for effectively tackling global challenges and for implementing global commitments. The Framework Programme will intensify cooperation and extend openness for association to all countries with excellent science, technology and innovation capacities, to make cooperation and funding of joint projects as smooth as possible. The programme will continue to fund entities from low/middle income countries. Entities from industrialised and emerging economies will be funded only if they possess essential competences or facilities. The expected implications include higher excellence in the Programme, more influence for the EU in shaping global research and innovation systems, and higher impact.</w:t>
      </w:r>
    </w:p>
    <w:p w14:paraId="33812D70" w14:textId="77777777" w:rsidR="00426509" w:rsidRDefault="006D554B">
      <w:pPr>
        <w:spacing w:after="120" w:line="240" w:lineRule="auto"/>
        <w:jc w:val="both"/>
        <w:rPr>
          <w:rFonts w:ascii="Times New Roman" w:eastAsia="Times New Roman" w:hAnsi="Times New Roman" w:cs="Times New Roman"/>
          <w:noProof/>
          <w:sz w:val="24"/>
          <w:szCs w:val="24"/>
          <w:lang w:val="en-GB"/>
        </w:rPr>
      </w:pPr>
      <w:r>
        <w:rPr>
          <w:rFonts w:ascii="Times New Roman" w:eastAsia="Times New Roman" w:hAnsi="Times New Roman" w:cs="Times New Roman"/>
          <w:b/>
          <w:noProof/>
          <w:sz w:val="24"/>
          <w:szCs w:val="24"/>
          <w:lang w:val="en-GB"/>
        </w:rPr>
        <w:t>Open Science</w:t>
      </w:r>
      <w:r>
        <w:rPr>
          <w:rFonts w:ascii="Times New Roman" w:eastAsia="Times New Roman" w:hAnsi="Times New Roman" w:cs="Times New Roman"/>
          <w:noProof/>
          <w:sz w:val="24"/>
          <w:szCs w:val="24"/>
          <w:lang w:val="en-GB"/>
        </w:rPr>
        <w:t xml:space="preserve"> will become the modus operandi of the new Programme, going beyond Horizon 2020’s open access policy to require immediate open access for publications and data (with opt-out possibilities for the latter), and research data management plans. The Programme will encourage the proliferation of FAIR data (findable, accessible, interoperable, and re-usable) and support a sustainable and innovative scholarly communications ecosystem. It will foster activities to improve researcher skills in Open Science and the reward systems that promote this. Research integrity and citizen science will play a central role, as will the development of a new generation of research assessment indicators.</w:t>
      </w:r>
    </w:p>
    <w:p w14:paraId="7DB8E5DE" w14:textId="77777777" w:rsidR="00426509" w:rsidRDefault="006D554B">
      <w:pPr>
        <w:spacing w:after="120" w:line="240" w:lineRule="auto"/>
        <w:jc w:val="both"/>
        <w:rPr>
          <w:rFonts w:ascii="Times New Roman" w:eastAsia="Times New Roman" w:hAnsi="Times New Roman" w:cs="Times New Roman"/>
          <w:noProof/>
          <w:sz w:val="24"/>
          <w:szCs w:val="24"/>
          <w:lang w:val="en-GB"/>
        </w:rPr>
      </w:pPr>
      <w:r>
        <w:rPr>
          <w:rFonts w:ascii="Times New Roman" w:eastAsia="Times New Roman" w:hAnsi="Times New Roman" w:cs="Times New Roman"/>
          <w:b/>
          <w:noProof/>
          <w:sz w:val="24"/>
          <w:szCs w:val="24"/>
          <w:lang w:val="en-GB"/>
        </w:rPr>
        <w:t>The new approach</w:t>
      </w:r>
      <w:r>
        <w:rPr>
          <w:rFonts w:ascii="Times New Roman" w:eastAsia="Times New Roman" w:hAnsi="Times New Roman" w:cs="Times New Roman"/>
          <w:noProof/>
          <w:sz w:val="24"/>
          <w:szCs w:val="24"/>
          <w:lang w:val="en-GB"/>
        </w:rPr>
        <w:t xml:space="preserve"> </w:t>
      </w:r>
      <w:r>
        <w:rPr>
          <w:rFonts w:ascii="Times New Roman" w:eastAsia="Times New Roman" w:hAnsi="Times New Roman" w:cs="Times New Roman"/>
          <w:b/>
          <w:noProof/>
          <w:sz w:val="24"/>
          <w:szCs w:val="24"/>
          <w:lang w:val="en-GB"/>
        </w:rPr>
        <w:t>to European Partnerships</w:t>
      </w:r>
      <w:r>
        <w:rPr>
          <w:rFonts w:ascii="Times New Roman" w:eastAsia="Times New Roman" w:hAnsi="Times New Roman" w:cs="Times New Roman"/>
          <w:noProof/>
          <w:sz w:val="24"/>
          <w:szCs w:val="24"/>
          <w:lang w:val="en-GB"/>
        </w:rPr>
        <w:t xml:space="preserve"> will be more impact-focussed. The need to establish future European Partnerships or renew existing ones will be identified as part of the strategic programming process for the Framework Programme. All European Partnerships will be open to all types of stakeholders (e.g. industry, Member States and philanthropic foundations) and will be limited in time, with clear conditions for the phasing out of the Framework Programme funding. They will be based on the principles of Union added value, transparency, openness, impact, leverage effect, long-term financial commitment from all parties, flexibility, coherence and complementarity with Union, local, regional national and international initiatives. The future partnership landscape will ensure optimal coherence between Framework Programme activities and partnerships. There will be only three types: i) co-programmed European Partnerships, based on memoranda of understanding or contractual arrangements; ii) co-funded European Partnerships, based on a single, flexible co-fund action; iii) institutionalised European Partnerships (based on Article 185 or 187 of the Treaty on the Functioning of the European Union). Following a life-cycle approach, the Framework Programme will set out the criteria for selecting, implementing, monitoring and phasing out all European Partnerships.</w:t>
      </w:r>
    </w:p>
    <w:p w14:paraId="39578117" w14:textId="77777777" w:rsidR="00426509" w:rsidRDefault="006D554B">
      <w:pPr>
        <w:spacing w:after="120" w:line="240" w:lineRule="auto"/>
        <w:jc w:val="both"/>
        <w:rPr>
          <w:rFonts w:ascii="Times New Roman" w:eastAsia="Times New Roman" w:hAnsi="Times New Roman" w:cs="Times New Roman"/>
          <w:noProof/>
          <w:sz w:val="24"/>
          <w:szCs w:val="24"/>
          <w:lang w:val="en-GB"/>
        </w:rPr>
      </w:pPr>
      <w:r>
        <w:rPr>
          <w:rFonts w:ascii="Times New Roman" w:eastAsia="Times New Roman" w:hAnsi="Times New Roman" w:cs="Times New Roman"/>
          <w:b/>
          <w:noProof/>
          <w:sz w:val="24"/>
          <w:szCs w:val="24"/>
          <w:lang w:val="en-GB"/>
        </w:rPr>
        <w:t>The changes to the Programme's structure and the improvements to it will facilitate the achievement of the Programme's objectives</w:t>
      </w:r>
      <w:r>
        <w:rPr>
          <w:rFonts w:ascii="Times New Roman" w:eastAsia="Times New Roman" w:hAnsi="Times New Roman" w:cs="Times New Roman"/>
          <w:noProof/>
          <w:sz w:val="24"/>
          <w:szCs w:val="24"/>
          <w:lang w:val="en-GB"/>
        </w:rPr>
        <w:t>, making it more effective and helping it generate even more economic benefits and value for money. These effects will be amplified by strengthened synergies and complementarities with other EU programmes, for example through the Seal of Excellence.</w:t>
      </w:r>
    </w:p>
    <w:p w14:paraId="6D002A8A" w14:textId="77777777" w:rsidR="00426509" w:rsidRDefault="006D554B">
      <w:pPr>
        <w:spacing w:after="120" w:line="240" w:lineRule="auto"/>
        <w:jc w:val="both"/>
        <w:rPr>
          <w:rFonts w:ascii="Times New Roman" w:eastAsia="Times New Roman" w:hAnsi="Times New Roman" w:cs="Times New Roman"/>
          <w:noProof/>
          <w:sz w:val="24"/>
          <w:szCs w:val="24"/>
          <w:lang w:val="en-GB"/>
        </w:rPr>
      </w:pPr>
      <w:r>
        <w:rPr>
          <w:rFonts w:ascii="Times New Roman" w:eastAsia="Times New Roman" w:hAnsi="Times New Roman" w:cs="Times New Roman"/>
          <w:b/>
          <w:noProof/>
          <w:sz w:val="24"/>
          <w:szCs w:val="24"/>
          <w:lang w:val="en-GB"/>
        </w:rPr>
        <w:t>Efficient delivery is essential for meeting all the objectives</w:t>
      </w:r>
      <w:r>
        <w:rPr>
          <w:rFonts w:ascii="Times New Roman" w:eastAsia="Times New Roman" w:hAnsi="Times New Roman" w:cs="Times New Roman"/>
          <w:noProof/>
          <w:sz w:val="24"/>
          <w:szCs w:val="24"/>
          <w:lang w:val="en-GB"/>
        </w:rPr>
        <w:t xml:space="preserve">. It is also key to achieving higher impact and further simplification. Building on the achievements of Horizon 2020, simplification remains a continuing endeavour also in the new Programme. Several improvements have been made to streamline delivery for impact. The Programme will aim at further simplification within the present real cost reimbursement system with its simplified funding model. Increased use will be made of project funding against fulfilment of activities (i.e. lump sum) and other simplified forms of funding allowed by the new Financial Regulation. Cross-reliance on audits across EU programmes and acceptance of usual cost </w:t>
      </w:r>
      <w:r>
        <w:rPr>
          <w:rFonts w:ascii="Times New Roman" w:eastAsia="Times New Roman" w:hAnsi="Times New Roman" w:cs="Times New Roman"/>
          <w:noProof/>
          <w:sz w:val="24"/>
          <w:szCs w:val="24"/>
          <w:lang w:val="en-GB"/>
        </w:rPr>
        <w:lastRenderedPageBreak/>
        <w:t>accounting practices will be developed. To increase flexibility, the Programme will support the intersection of disciplines and sectors and allow allocation of funds between and within pillars to react swiftly to emerging issues or challenges. Further improvements to the proposal submission and evaluation process will be envisaged by continuously trying to reduce the 'time to grant' and by improving feedback to applicants. The evaluation criteria, process and involvement of independent experts will underscore the Programme's excellence and impact. Innovation support schemes will be streamlined under the European Innovation Council, while the complementarity between grants and financial instruments could be reinforced through blended finance.</w:t>
      </w:r>
    </w:p>
    <w:p w14:paraId="3A6CF282" w14:textId="77777777" w:rsidR="00426509" w:rsidRDefault="006D554B">
      <w:pPr>
        <w:spacing w:after="120" w:line="240" w:lineRule="auto"/>
        <w:jc w:val="both"/>
        <w:rPr>
          <w:rFonts w:ascii="Times New Roman" w:eastAsia="Times New Roman" w:hAnsi="Times New Roman" w:cs="Times New Roman"/>
          <w:noProof/>
          <w:sz w:val="24"/>
          <w:szCs w:val="24"/>
          <w:lang w:val="en-GB"/>
        </w:rPr>
      </w:pPr>
      <w:r>
        <w:rPr>
          <w:rFonts w:ascii="Times New Roman" w:eastAsia="Times New Roman" w:hAnsi="Times New Roman" w:cs="Times New Roman"/>
          <w:b/>
          <w:noProof/>
          <w:sz w:val="24"/>
          <w:szCs w:val="24"/>
          <w:lang w:val="en-GB"/>
        </w:rPr>
        <w:t>Impact depends ultimately on the dissemination and exploitation of research and innovation</w:t>
      </w:r>
      <w:r>
        <w:rPr>
          <w:rFonts w:ascii="Times New Roman" w:eastAsia="Times New Roman" w:hAnsi="Times New Roman" w:cs="Times New Roman"/>
          <w:noProof/>
          <w:sz w:val="24"/>
          <w:szCs w:val="24"/>
          <w:lang w:val="en-GB"/>
        </w:rPr>
        <w:t xml:space="preserve"> </w:t>
      </w:r>
      <w:r>
        <w:rPr>
          <w:rFonts w:ascii="Times New Roman" w:eastAsia="Times New Roman" w:hAnsi="Times New Roman" w:cs="Times New Roman"/>
          <w:b/>
          <w:noProof/>
          <w:sz w:val="24"/>
          <w:szCs w:val="24"/>
          <w:lang w:val="en-GB"/>
        </w:rPr>
        <w:t>data and results</w:t>
      </w:r>
      <w:r>
        <w:rPr>
          <w:rFonts w:ascii="Times New Roman" w:eastAsia="Times New Roman" w:hAnsi="Times New Roman" w:cs="Times New Roman"/>
          <w:noProof/>
          <w:sz w:val="24"/>
          <w:szCs w:val="24"/>
          <w:lang w:val="en-GB"/>
        </w:rPr>
        <w:t>, and it needs to be effectively captured and communicated. An ambitious and comprehensive strategy will increase the availability of such data and results and accelerate their uptake to boost the overall impact of the Programme. Portfolios of mature results will be exploited in synergy with other EU programmes to ensure their uptake at national and regional level, maximising European innovation potential. This will be complemented by effective communication and outreach campaigns that build trust and engage citizens.</w:t>
      </w:r>
    </w:p>
    <w:p w14:paraId="00A0412B" w14:textId="77777777" w:rsidR="00426509" w:rsidRDefault="006D554B">
      <w:pPr>
        <w:jc w:val="both"/>
        <w:rPr>
          <w:rFonts w:ascii="Times New Roman" w:hAnsi="Times New Roman" w:cs="Times New Roman"/>
          <w:noProof/>
          <w:sz w:val="24"/>
          <w:szCs w:val="24"/>
          <w:lang w:val="en-GB"/>
        </w:rPr>
      </w:pPr>
      <w:r>
        <w:rPr>
          <w:rFonts w:ascii="Times New Roman" w:eastAsia="Times New Roman" w:hAnsi="Times New Roman" w:cs="Times New Roman"/>
          <w:b/>
          <w:noProof/>
          <w:sz w:val="24"/>
          <w:szCs w:val="24"/>
          <w:lang w:val="en-GB"/>
        </w:rPr>
        <w:t xml:space="preserve">Progress towards the Programme’s objectives will be tracked along </w:t>
      </w:r>
      <w:r>
        <w:rPr>
          <w:rFonts w:ascii="Times New Roman" w:eastAsia="Times New Roman" w:hAnsi="Times New Roman" w:cs="Times New Roman"/>
          <w:noProof/>
          <w:sz w:val="24"/>
          <w:szCs w:val="24"/>
          <w:lang w:val="en-GB"/>
        </w:rPr>
        <w:t>'</w:t>
      </w:r>
      <w:r>
        <w:rPr>
          <w:rFonts w:ascii="Times New Roman" w:eastAsia="Times New Roman" w:hAnsi="Times New Roman" w:cs="Times New Roman"/>
          <w:b/>
          <w:noProof/>
          <w:sz w:val="24"/>
          <w:szCs w:val="24"/>
          <w:lang w:val="en-GB"/>
        </w:rPr>
        <w:t>impact pathways</w:t>
      </w:r>
      <w:r>
        <w:rPr>
          <w:rFonts w:ascii="Times New Roman" w:eastAsia="Times New Roman" w:hAnsi="Times New Roman" w:cs="Times New Roman"/>
          <w:noProof/>
          <w:sz w:val="24"/>
          <w:szCs w:val="24"/>
          <w:lang w:val="en-GB"/>
        </w:rPr>
        <w:t>'</w:t>
      </w:r>
      <w:r>
        <w:rPr>
          <w:rFonts w:ascii="Times New Roman" w:eastAsia="Times New Roman" w:hAnsi="Times New Roman" w:cs="Times New Roman"/>
          <w:b/>
          <w:noProof/>
          <w:sz w:val="24"/>
          <w:szCs w:val="24"/>
          <w:lang w:val="en-GB"/>
        </w:rPr>
        <w:t xml:space="preserve"> </w:t>
      </w:r>
      <w:r>
        <w:rPr>
          <w:rFonts w:ascii="Times New Roman" w:eastAsia="Times New Roman" w:hAnsi="Times New Roman" w:cs="Times New Roman"/>
          <w:noProof/>
          <w:sz w:val="24"/>
          <w:szCs w:val="24"/>
          <w:lang w:val="en-GB"/>
        </w:rPr>
        <w:t>(on scientific, societal, and economic impact). The impact pathways will be time-sensitive, distinguishing between the short, medium and long term. The impact pathway indicators will contain both qualitative and quantitative information, the availability of which will depend on the Programme's stage of implementation. Individual programme parts will contribute to these indicators to varying degrees and through various mechanisms. The data behind the key impact pathway indicators will be collected in a centrally managed and harmonised way that imposes minimum reporting burden on beneficiaries, including using unique identifiers for applicants and sourcing data automatically from existing external public and private databases. Baselines, targets and benchmarks will be established before the Programme’s launch. Management and implementation data from the Programme will continue to be collected in near real-time. An analysis of progress on key dimensions of management and implementation will be carried out every year. Interim and ex-post evaluations will ensure that methodologies are consistent and coverage is comprehensive.</w:t>
      </w:r>
    </w:p>
    <w:sectPr w:rsidR="00426509">
      <w:headerReference w:type="even" r:id="rId25"/>
      <w:headerReference w:type="default" r:id="rId26"/>
      <w:footerReference w:type="even" r:id="rId27"/>
      <w:footerReference w:type="default" r:id="rId28"/>
      <w:headerReference w:type="first" r:id="rId29"/>
      <w:footerReference w:type="first" r:id="rId30"/>
      <w:pgSz w:w="11906" w:h="16838"/>
      <w:pgMar w:top="1440" w:right="1440" w:bottom="1134" w:left="1440" w:header="601" w:footer="61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8D1B9" w14:textId="77777777" w:rsidR="00426509" w:rsidRDefault="006D554B">
      <w:pPr>
        <w:spacing w:after="0" w:line="240" w:lineRule="auto"/>
      </w:pPr>
      <w:r>
        <w:separator/>
      </w:r>
    </w:p>
  </w:endnote>
  <w:endnote w:type="continuationSeparator" w:id="0">
    <w:p w14:paraId="49CC35E2" w14:textId="77777777" w:rsidR="00426509" w:rsidRDefault="006D55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EC Square Sans Pro">
    <w:charset w:val="00"/>
    <w:family w:val="swiss"/>
    <w:pitch w:val="variable"/>
    <w:sig w:usb0="A00002B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6D06B" w14:textId="77777777" w:rsidR="006D554B" w:rsidRPr="007012E8" w:rsidRDefault="006D554B" w:rsidP="007012E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7012E8" w:rsidRPr="00D94637" w14:paraId="2A38F284" w14:textId="77777777" w:rsidTr="007012E8">
      <w:trPr>
        <w:jc w:val="center"/>
      </w:trPr>
      <w:tc>
        <w:tcPr>
          <w:tcW w:w="5000" w:type="pct"/>
          <w:gridSpan w:val="7"/>
          <w:shd w:val="clear" w:color="auto" w:fill="auto"/>
          <w:tcMar>
            <w:top w:w="57" w:type="dxa"/>
          </w:tcMar>
        </w:tcPr>
        <w:p w14:paraId="59659CB0" w14:textId="77777777" w:rsidR="007012E8" w:rsidRPr="00D94637" w:rsidRDefault="007012E8" w:rsidP="00D94637">
          <w:pPr>
            <w:pStyle w:val="FooterText"/>
            <w:pBdr>
              <w:top w:val="single" w:sz="4" w:space="1" w:color="auto"/>
            </w:pBdr>
            <w:spacing w:before="200"/>
            <w:rPr>
              <w:sz w:val="2"/>
              <w:szCs w:val="2"/>
            </w:rPr>
          </w:pPr>
          <w:bookmarkStart w:id="3" w:name="FOOTER_STANDARD"/>
        </w:p>
      </w:tc>
    </w:tr>
    <w:tr w:rsidR="007012E8" w:rsidRPr="00B310DC" w14:paraId="04F14055" w14:textId="77777777" w:rsidTr="007012E8">
      <w:trPr>
        <w:jc w:val="center"/>
      </w:trPr>
      <w:tc>
        <w:tcPr>
          <w:tcW w:w="2500" w:type="pct"/>
          <w:gridSpan w:val="2"/>
          <w:shd w:val="clear" w:color="auto" w:fill="auto"/>
          <w:tcMar>
            <w:top w:w="0" w:type="dxa"/>
          </w:tcMar>
        </w:tcPr>
        <w:p w14:paraId="65BC7EFA" w14:textId="77777777" w:rsidR="007012E8" w:rsidRPr="00AD7BF2" w:rsidRDefault="007012E8" w:rsidP="004F54B2">
          <w:pPr>
            <w:pStyle w:val="FooterText"/>
          </w:pPr>
          <w:r>
            <w:t>9871/18</w:t>
          </w:r>
          <w:r w:rsidRPr="002511D8">
            <w:t xml:space="preserve"> </w:t>
          </w:r>
          <w:r>
            <w:t>ADD 5</w:t>
          </w:r>
        </w:p>
      </w:tc>
      <w:tc>
        <w:tcPr>
          <w:tcW w:w="625" w:type="pct"/>
          <w:shd w:val="clear" w:color="auto" w:fill="auto"/>
          <w:tcMar>
            <w:top w:w="0" w:type="dxa"/>
          </w:tcMar>
        </w:tcPr>
        <w:p w14:paraId="0B603289" w14:textId="77777777" w:rsidR="007012E8" w:rsidRPr="00AD7BF2" w:rsidRDefault="007012E8" w:rsidP="00D94637">
          <w:pPr>
            <w:pStyle w:val="FooterText"/>
            <w:jc w:val="center"/>
          </w:pPr>
        </w:p>
      </w:tc>
      <w:tc>
        <w:tcPr>
          <w:tcW w:w="1286" w:type="pct"/>
          <w:gridSpan w:val="3"/>
          <w:shd w:val="clear" w:color="auto" w:fill="auto"/>
          <w:tcMar>
            <w:top w:w="0" w:type="dxa"/>
          </w:tcMar>
        </w:tcPr>
        <w:p w14:paraId="047F72F6" w14:textId="77777777" w:rsidR="007012E8" w:rsidRPr="002511D8" w:rsidRDefault="007012E8" w:rsidP="00D94637">
          <w:pPr>
            <w:pStyle w:val="FooterText"/>
            <w:jc w:val="center"/>
          </w:pPr>
          <w:r>
            <w:t>AF/evt</w:t>
          </w:r>
        </w:p>
      </w:tc>
      <w:tc>
        <w:tcPr>
          <w:tcW w:w="589" w:type="pct"/>
          <w:shd w:val="clear" w:color="auto" w:fill="auto"/>
          <w:tcMar>
            <w:top w:w="0" w:type="dxa"/>
          </w:tcMar>
        </w:tcPr>
        <w:p w14:paraId="2869FBE5" w14:textId="77777777" w:rsidR="007012E8" w:rsidRPr="00B310DC" w:rsidRDefault="007012E8" w:rsidP="007012E8">
          <w:pPr>
            <w:pStyle w:val="FooterText"/>
            <w:jc w:val="right"/>
          </w:pPr>
          <w:r>
            <w:fldChar w:fldCharType="begin"/>
          </w:r>
          <w:r>
            <w:instrText xml:space="preserve"> PAGE  \* MERGEFORMAT </w:instrText>
          </w:r>
          <w:r>
            <w:fldChar w:fldCharType="separate"/>
          </w:r>
          <w:r>
            <w:rPr>
              <w:noProof/>
            </w:rPr>
            <w:t>0</w:t>
          </w:r>
          <w:r>
            <w:fldChar w:fldCharType="end"/>
          </w:r>
        </w:p>
      </w:tc>
    </w:tr>
    <w:tr w:rsidR="007012E8" w:rsidRPr="00D94637" w14:paraId="6759695F" w14:textId="77777777" w:rsidTr="007012E8">
      <w:trPr>
        <w:jc w:val="center"/>
      </w:trPr>
      <w:tc>
        <w:tcPr>
          <w:tcW w:w="1774" w:type="pct"/>
          <w:shd w:val="clear" w:color="auto" w:fill="auto"/>
        </w:tcPr>
        <w:p w14:paraId="363DC2F0" w14:textId="77777777" w:rsidR="007012E8" w:rsidRPr="00AD7BF2" w:rsidRDefault="007012E8" w:rsidP="00D94637">
          <w:pPr>
            <w:pStyle w:val="FooterText"/>
            <w:spacing w:before="40"/>
          </w:pPr>
        </w:p>
      </w:tc>
      <w:tc>
        <w:tcPr>
          <w:tcW w:w="1455" w:type="pct"/>
          <w:gridSpan w:val="3"/>
          <w:shd w:val="clear" w:color="auto" w:fill="auto"/>
        </w:tcPr>
        <w:p w14:paraId="7A6C44A8" w14:textId="77777777" w:rsidR="007012E8" w:rsidRPr="00AD7BF2" w:rsidRDefault="007012E8" w:rsidP="00D204D6">
          <w:pPr>
            <w:pStyle w:val="FooterText"/>
            <w:spacing w:before="40"/>
            <w:jc w:val="center"/>
          </w:pPr>
          <w:r>
            <w:t>DG G 3 C</w:t>
          </w:r>
        </w:p>
      </w:tc>
      <w:tc>
        <w:tcPr>
          <w:tcW w:w="742" w:type="pct"/>
          <w:shd w:val="clear" w:color="auto" w:fill="auto"/>
        </w:tcPr>
        <w:p w14:paraId="2692C836" w14:textId="77777777" w:rsidR="007012E8" w:rsidRPr="00D94637" w:rsidRDefault="007012E8" w:rsidP="002F0099">
          <w:pPr>
            <w:pStyle w:val="FooterText"/>
            <w:jc w:val="center"/>
            <w:rPr>
              <w:b/>
              <w:position w:val="-4"/>
              <w:sz w:val="36"/>
            </w:rPr>
          </w:pPr>
        </w:p>
      </w:tc>
      <w:tc>
        <w:tcPr>
          <w:tcW w:w="1029" w:type="pct"/>
          <w:gridSpan w:val="2"/>
          <w:shd w:val="clear" w:color="auto" w:fill="auto"/>
        </w:tcPr>
        <w:p w14:paraId="681777BD" w14:textId="77777777" w:rsidR="007012E8" w:rsidRPr="00D94637" w:rsidRDefault="007012E8" w:rsidP="00D94637">
          <w:pPr>
            <w:pStyle w:val="FooterText"/>
            <w:jc w:val="right"/>
            <w:rPr>
              <w:sz w:val="16"/>
            </w:rPr>
          </w:pPr>
          <w:r>
            <w:rPr>
              <w:b/>
              <w:position w:val="-4"/>
              <w:sz w:val="36"/>
            </w:rPr>
            <w:t>EN</w:t>
          </w:r>
        </w:p>
      </w:tc>
    </w:tr>
    <w:bookmarkEnd w:id="3"/>
  </w:tbl>
  <w:p w14:paraId="6C2C47F0" w14:textId="77777777" w:rsidR="006D554B" w:rsidRPr="007012E8" w:rsidRDefault="006D554B" w:rsidP="007012E8">
    <w:pPr>
      <w:pStyle w:val="FooterCouncil"/>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Layout w:type="fixed"/>
      <w:tblCellMar>
        <w:left w:w="0" w:type="dxa"/>
        <w:right w:w="0" w:type="dxa"/>
      </w:tblCellMar>
      <w:tblLook w:val="01E0" w:firstRow="1" w:lastRow="1" w:firstColumn="1" w:lastColumn="1" w:noHBand="0" w:noVBand="0"/>
    </w:tblPr>
    <w:tblGrid>
      <w:gridCol w:w="3421"/>
      <w:gridCol w:w="1399"/>
      <w:gridCol w:w="1205"/>
      <w:gridCol w:w="200"/>
      <w:gridCol w:w="1430"/>
      <w:gridCol w:w="848"/>
      <w:gridCol w:w="1135"/>
    </w:tblGrid>
    <w:tr w:rsidR="007012E8" w:rsidRPr="00D94637" w14:paraId="270BF1E8" w14:textId="77777777" w:rsidTr="007012E8">
      <w:trPr>
        <w:jc w:val="center"/>
      </w:trPr>
      <w:tc>
        <w:tcPr>
          <w:tcW w:w="5000" w:type="pct"/>
          <w:gridSpan w:val="7"/>
          <w:shd w:val="clear" w:color="auto" w:fill="auto"/>
          <w:tcMar>
            <w:top w:w="57" w:type="dxa"/>
          </w:tcMar>
        </w:tcPr>
        <w:p w14:paraId="7AAF02D0" w14:textId="77777777" w:rsidR="007012E8" w:rsidRPr="00D94637" w:rsidRDefault="007012E8" w:rsidP="00D94637">
          <w:pPr>
            <w:pStyle w:val="FooterText"/>
            <w:pBdr>
              <w:top w:val="single" w:sz="4" w:space="1" w:color="auto"/>
            </w:pBdr>
            <w:spacing w:before="200"/>
            <w:rPr>
              <w:sz w:val="2"/>
              <w:szCs w:val="2"/>
            </w:rPr>
          </w:pPr>
        </w:p>
      </w:tc>
    </w:tr>
    <w:tr w:rsidR="007012E8" w:rsidRPr="00B310DC" w14:paraId="06AAC9D3" w14:textId="77777777" w:rsidTr="007012E8">
      <w:trPr>
        <w:jc w:val="center"/>
      </w:trPr>
      <w:tc>
        <w:tcPr>
          <w:tcW w:w="2500" w:type="pct"/>
          <w:gridSpan w:val="2"/>
          <w:shd w:val="clear" w:color="auto" w:fill="auto"/>
          <w:tcMar>
            <w:top w:w="0" w:type="dxa"/>
          </w:tcMar>
        </w:tcPr>
        <w:p w14:paraId="104C0D01" w14:textId="77777777" w:rsidR="007012E8" w:rsidRPr="00AD7BF2" w:rsidRDefault="007012E8" w:rsidP="004F54B2">
          <w:pPr>
            <w:pStyle w:val="FooterText"/>
          </w:pPr>
          <w:r>
            <w:t>9871/18</w:t>
          </w:r>
          <w:r w:rsidRPr="002511D8">
            <w:t xml:space="preserve"> </w:t>
          </w:r>
          <w:r>
            <w:t>ADD 5</w:t>
          </w:r>
        </w:p>
      </w:tc>
      <w:tc>
        <w:tcPr>
          <w:tcW w:w="625" w:type="pct"/>
          <w:shd w:val="clear" w:color="auto" w:fill="auto"/>
          <w:tcMar>
            <w:top w:w="0" w:type="dxa"/>
          </w:tcMar>
        </w:tcPr>
        <w:p w14:paraId="509B89EC" w14:textId="77777777" w:rsidR="007012E8" w:rsidRPr="00AD7BF2" w:rsidRDefault="007012E8" w:rsidP="00D94637">
          <w:pPr>
            <w:pStyle w:val="FooterText"/>
            <w:jc w:val="center"/>
          </w:pPr>
        </w:p>
      </w:tc>
      <w:tc>
        <w:tcPr>
          <w:tcW w:w="1286" w:type="pct"/>
          <w:gridSpan w:val="3"/>
          <w:shd w:val="clear" w:color="auto" w:fill="auto"/>
          <w:tcMar>
            <w:top w:w="0" w:type="dxa"/>
          </w:tcMar>
        </w:tcPr>
        <w:p w14:paraId="7A07032A" w14:textId="77777777" w:rsidR="007012E8" w:rsidRPr="002511D8" w:rsidRDefault="007012E8" w:rsidP="00D94637">
          <w:pPr>
            <w:pStyle w:val="FooterText"/>
            <w:jc w:val="center"/>
          </w:pPr>
          <w:r>
            <w:t>AF/evt</w:t>
          </w:r>
        </w:p>
      </w:tc>
      <w:tc>
        <w:tcPr>
          <w:tcW w:w="589" w:type="pct"/>
          <w:shd w:val="clear" w:color="auto" w:fill="auto"/>
          <w:tcMar>
            <w:top w:w="0" w:type="dxa"/>
          </w:tcMar>
        </w:tcPr>
        <w:p w14:paraId="7A1159B1" w14:textId="77777777" w:rsidR="007012E8" w:rsidRPr="00B310DC" w:rsidRDefault="007012E8" w:rsidP="00D94637">
          <w:pPr>
            <w:pStyle w:val="FooterText"/>
            <w:jc w:val="right"/>
          </w:pPr>
        </w:p>
      </w:tc>
    </w:tr>
    <w:tr w:rsidR="007012E8" w:rsidRPr="00D94637" w14:paraId="3DC510E1" w14:textId="77777777" w:rsidTr="007012E8">
      <w:trPr>
        <w:jc w:val="center"/>
      </w:trPr>
      <w:tc>
        <w:tcPr>
          <w:tcW w:w="1774" w:type="pct"/>
          <w:shd w:val="clear" w:color="auto" w:fill="auto"/>
        </w:tcPr>
        <w:p w14:paraId="610D5421" w14:textId="77777777" w:rsidR="007012E8" w:rsidRPr="00AD7BF2" w:rsidRDefault="007012E8" w:rsidP="00D94637">
          <w:pPr>
            <w:pStyle w:val="FooterText"/>
            <w:spacing w:before="40"/>
          </w:pPr>
        </w:p>
      </w:tc>
      <w:tc>
        <w:tcPr>
          <w:tcW w:w="1455" w:type="pct"/>
          <w:gridSpan w:val="3"/>
          <w:shd w:val="clear" w:color="auto" w:fill="auto"/>
        </w:tcPr>
        <w:p w14:paraId="576163D5" w14:textId="77777777" w:rsidR="007012E8" w:rsidRPr="00AD7BF2" w:rsidRDefault="007012E8" w:rsidP="00D204D6">
          <w:pPr>
            <w:pStyle w:val="FooterText"/>
            <w:spacing w:before="40"/>
            <w:jc w:val="center"/>
          </w:pPr>
          <w:r>
            <w:t>DG G 3 C</w:t>
          </w:r>
        </w:p>
      </w:tc>
      <w:tc>
        <w:tcPr>
          <w:tcW w:w="742" w:type="pct"/>
          <w:shd w:val="clear" w:color="auto" w:fill="auto"/>
        </w:tcPr>
        <w:p w14:paraId="4E3FC728" w14:textId="77777777" w:rsidR="007012E8" w:rsidRPr="00D94637" w:rsidRDefault="007012E8" w:rsidP="002F0099">
          <w:pPr>
            <w:pStyle w:val="FooterText"/>
            <w:jc w:val="center"/>
            <w:rPr>
              <w:b/>
              <w:position w:val="-4"/>
              <w:sz w:val="36"/>
            </w:rPr>
          </w:pPr>
        </w:p>
      </w:tc>
      <w:tc>
        <w:tcPr>
          <w:tcW w:w="1029" w:type="pct"/>
          <w:gridSpan w:val="2"/>
          <w:shd w:val="clear" w:color="auto" w:fill="auto"/>
        </w:tcPr>
        <w:p w14:paraId="7FC82F21" w14:textId="77777777" w:rsidR="007012E8" w:rsidRPr="00D94637" w:rsidRDefault="007012E8" w:rsidP="00D94637">
          <w:pPr>
            <w:pStyle w:val="FooterText"/>
            <w:jc w:val="right"/>
            <w:rPr>
              <w:sz w:val="16"/>
            </w:rPr>
          </w:pPr>
          <w:r>
            <w:rPr>
              <w:b/>
              <w:position w:val="-4"/>
              <w:sz w:val="36"/>
            </w:rPr>
            <w:t>EN</w:t>
          </w:r>
        </w:p>
      </w:tc>
    </w:tr>
  </w:tbl>
  <w:p w14:paraId="4C25665F" w14:textId="77777777" w:rsidR="006D554B" w:rsidRPr="007012E8" w:rsidRDefault="006D554B" w:rsidP="007012E8">
    <w:pPr>
      <w:pStyle w:val="FooterCouncil"/>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5D995" w14:textId="77777777" w:rsidR="008B1208" w:rsidRPr="006D554B" w:rsidRDefault="008B1208" w:rsidP="006D554B">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F7590" w14:textId="77777777" w:rsidR="008B1208" w:rsidRPr="006D554B" w:rsidRDefault="008B1208" w:rsidP="006D554B">
    <w:pPr>
      <w:pStyle w:val="FooterCoverPage"/>
      <w:rPr>
        <w:rFonts w:ascii="Arial" w:hAnsi="Arial" w:cs="Arial"/>
        <w:b/>
        <w:sz w:val="48"/>
      </w:rPr>
    </w:pPr>
    <w:r w:rsidRPr="006D554B">
      <w:rPr>
        <w:rFonts w:ascii="Arial" w:hAnsi="Arial" w:cs="Arial"/>
        <w:b/>
        <w:sz w:val="48"/>
      </w:rPr>
      <w:t>EN</w:t>
    </w:r>
    <w:r w:rsidRPr="006D554B">
      <w:rPr>
        <w:rFonts w:ascii="Arial" w:hAnsi="Arial" w:cs="Arial"/>
        <w:b/>
        <w:sz w:val="48"/>
      </w:rPr>
      <w:tab/>
    </w:r>
    <w:r w:rsidRPr="006D554B">
      <w:rPr>
        <w:rFonts w:ascii="Arial" w:hAnsi="Arial" w:cs="Arial"/>
        <w:b/>
        <w:sz w:val="48"/>
      </w:rPr>
      <w:tab/>
    </w:r>
    <w:r w:rsidRPr="006D554B">
      <w:tab/>
    </w:r>
    <w:r w:rsidRPr="006D554B">
      <w:rPr>
        <w:rFonts w:ascii="Arial" w:hAnsi="Arial" w:cs="Arial"/>
        <w:b/>
        <w:sz w:val="48"/>
      </w:rPr>
      <w:t>EN</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8E84C" w14:textId="77777777" w:rsidR="008B1208" w:rsidRPr="006D554B" w:rsidRDefault="008B1208" w:rsidP="006D554B">
    <w:pPr>
      <w:pStyle w:val="FooterCoverPage"/>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B2DA7" w14:textId="77777777" w:rsidR="00426509" w:rsidRDefault="00426509">
    <w:pPr>
      <w:pStyle w:val="Piedepgina"/>
    </w:pPr>
  </w:p>
  <w:p w14:paraId="04D31818" w14:textId="77777777" w:rsidR="00426509" w:rsidRDefault="00426509"/>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0560748"/>
      <w:docPartObj>
        <w:docPartGallery w:val="Page Numbers (Bottom of Page)"/>
        <w:docPartUnique/>
      </w:docPartObj>
    </w:sdtPr>
    <w:sdtEndPr>
      <w:rPr>
        <w:noProof/>
      </w:rPr>
    </w:sdtEndPr>
    <w:sdtContent>
      <w:p w14:paraId="647349B3" w14:textId="77777777" w:rsidR="00426509" w:rsidRDefault="006D554B">
        <w:pPr>
          <w:pStyle w:val="Piedepgina"/>
          <w:jc w:val="center"/>
        </w:pPr>
        <w:r>
          <w:fldChar w:fldCharType="begin"/>
        </w:r>
        <w:r>
          <w:instrText xml:space="preserve"> PAGE   \* MERGEFORMAT </w:instrText>
        </w:r>
        <w:r>
          <w:fldChar w:fldCharType="separate"/>
        </w:r>
        <w:r w:rsidR="00BE412B">
          <w:rPr>
            <w:noProof/>
          </w:rPr>
          <w:t>4</w:t>
        </w:r>
        <w:r>
          <w:rPr>
            <w:noProof/>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7545451"/>
      <w:docPartObj>
        <w:docPartGallery w:val="Page Numbers (Bottom of Page)"/>
        <w:docPartUnique/>
      </w:docPartObj>
    </w:sdtPr>
    <w:sdtEndPr>
      <w:rPr>
        <w:noProof/>
      </w:rPr>
    </w:sdtEndPr>
    <w:sdtContent>
      <w:p w14:paraId="78E5017E" w14:textId="77777777" w:rsidR="00426509" w:rsidRDefault="006D554B">
        <w:pPr>
          <w:pStyle w:val="Piedepgina"/>
          <w:jc w:val="center"/>
        </w:pPr>
        <w:r>
          <w:fldChar w:fldCharType="begin"/>
        </w:r>
        <w:r>
          <w:instrText xml:space="preserve"> PAGE   \* MERGEFORMAT </w:instrText>
        </w:r>
        <w:r>
          <w:fldChar w:fldCharType="separate"/>
        </w:r>
        <w:r w:rsidR="00BE412B">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86D0E" w14:textId="77777777" w:rsidR="00426509" w:rsidRDefault="006D554B">
      <w:pPr>
        <w:spacing w:after="0" w:line="240" w:lineRule="auto"/>
      </w:pPr>
      <w:r>
        <w:separator/>
      </w:r>
    </w:p>
  </w:footnote>
  <w:footnote w:type="continuationSeparator" w:id="0">
    <w:p w14:paraId="6F131C51" w14:textId="77777777" w:rsidR="00426509" w:rsidRDefault="006D55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ED89C" w14:textId="77777777" w:rsidR="006D554B" w:rsidRPr="007012E8" w:rsidRDefault="006D554B" w:rsidP="007012E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7C738" w14:textId="77777777" w:rsidR="006D554B" w:rsidRPr="007012E8" w:rsidRDefault="007012E8" w:rsidP="007012E8">
    <w:pPr>
      <w:pStyle w:val="HeaderCouncilLarge"/>
    </w:pPr>
    <w:r>
      <w:t>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C1651" w14:textId="77777777" w:rsidR="006D554B" w:rsidRPr="007012E8" w:rsidRDefault="007012E8" w:rsidP="007012E8">
    <w:pPr>
      <w:pStyle w:val="HeaderCouncil"/>
    </w:pPr>
    <w:r>
      <w:t>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EE713" w14:textId="77777777" w:rsidR="008B1208" w:rsidRPr="006D554B" w:rsidRDefault="008B1208" w:rsidP="006D554B">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15C24" w14:textId="77777777" w:rsidR="008B1208" w:rsidRPr="006D554B" w:rsidRDefault="008B1208" w:rsidP="006D554B">
    <w:pPr>
      <w:pStyle w:val="HeaderCoverPage"/>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E0CEF" w14:textId="77777777" w:rsidR="008B1208" w:rsidRPr="006D554B" w:rsidRDefault="008B1208" w:rsidP="006D554B">
    <w:pPr>
      <w:pStyle w:val="HeaderCoverPage"/>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A058D" w14:textId="77777777" w:rsidR="00426509" w:rsidRDefault="00426509">
    <w:pPr>
      <w:pStyle w:val="Encabezado"/>
    </w:pPr>
  </w:p>
  <w:p w14:paraId="2313AFD1" w14:textId="77777777" w:rsidR="00426509" w:rsidRDefault="00426509"/>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5A4A8" w14:textId="77777777" w:rsidR="00426509" w:rsidRDefault="00426509"/>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AE467" w14:textId="77777777" w:rsidR="00426509" w:rsidRDefault="0042650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E7A64A6A"/>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1D967AC0"/>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14E24C82"/>
    <w:multiLevelType w:val="multilevel"/>
    <w:tmpl w:val="769A8EEE"/>
    <w:styleLink w:val="appendix"/>
    <w:lvl w:ilvl="0">
      <w:start w:val="1"/>
      <w:numFmt w:val="decimal"/>
      <w:pStyle w:val="AppendixH1"/>
      <w:lvlText w:val="%1 "/>
      <w:lvlJc w:val="left"/>
      <w:pPr>
        <w:ind w:left="454" w:hanging="454"/>
      </w:pPr>
      <w:rPr>
        <w:rFonts w:ascii="Times New Roman" w:hAnsi="Times New Roman" w:hint="default"/>
        <w:b/>
        <w:sz w:val="24"/>
      </w:rPr>
    </w:lvl>
    <w:lvl w:ilvl="1">
      <w:start w:val="1"/>
      <w:numFmt w:val="decimal"/>
      <w:pStyle w:val="AppendixH2"/>
      <w:lvlText w:val="%1.%2"/>
      <w:lvlJc w:val="left"/>
      <w:pPr>
        <w:ind w:left="454" w:hanging="646"/>
      </w:pPr>
      <w:rPr>
        <w:rFonts w:ascii="Times New Roman" w:hAnsi="Times New Roman" w:hint="default"/>
        <w:b/>
        <w:sz w:val="24"/>
      </w:rPr>
    </w:lvl>
    <w:lvl w:ilvl="2">
      <w:start w:val="1"/>
      <w:numFmt w:val="decimal"/>
      <w:pStyle w:val="AppendixH3"/>
      <w:lvlText w:val="%1.%2.%3"/>
      <w:lvlJc w:val="left"/>
      <w:pPr>
        <w:ind w:left="454" w:hanging="454"/>
      </w:pPr>
      <w:rPr>
        <w:rFonts w:ascii="Times New Roman" w:hAnsi="Times New Roman" w:hint="default"/>
        <w:i/>
        <w:sz w:val="24"/>
      </w:rPr>
    </w:lvl>
    <w:lvl w:ilvl="3">
      <w:start w:val="1"/>
      <w:numFmt w:val="decimal"/>
      <w:lvlText w:val="(%4)"/>
      <w:lvlJc w:val="left"/>
      <w:pPr>
        <w:ind w:left="1608" w:hanging="360"/>
      </w:pPr>
      <w:rPr>
        <w:rFonts w:hint="default"/>
      </w:rPr>
    </w:lvl>
    <w:lvl w:ilvl="4">
      <w:start w:val="1"/>
      <w:numFmt w:val="lowerLetter"/>
      <w:lvlText w:val="(%5)"/>
      <w:lvlJc w:val="left"/>
      <w:pPr>
        <w:ind w:left="1968" w:hanging="360"/>
      </w:pPr>
      <w:rPr>
        <w:rFonts w:hint="default"/>
      </w:rPr>
    </w:lvl>
    <w:lvl w:ilvl="5">
      <w:start w:val="1"/>
      <w:numFmt w:val="lowerRoman"/>
      <w:lvlText w:val="(%6)"/>
      <w:lvlJc w:val="left"/>
      <w:pPr>
        <w:ind w:left="2328" w:hanging="360"/>
      </w:pPr>
      <w:rPr>
        <w:rFonts w:hint="default"/>
      </w:rPr>
    </w:lvl>
    <w:lvl w:ilvl="6">
      <w:start w:val="1"/>
      <w:numFmt w:val="decimal"/>
      <w:lvlText w:val="%7."/>
      <w:lvlJc w:val="left"/>
      <w:pPr>
        <w:ind w:left="2688" w:hanging="360"/>
      </w:pPr>
      <w:rPr>
        <w:rFonts w:hint="default"/>
      </w:rPr>
    </w:lvl>
    <w:lvl w:ilvl="7">
      <w:start w:val="1"/>
      <w:numFmt w:val="lowerLetter"/>
      <w:lvlText w:val="%8."/>
      <w:lvlJc w:val="left"/>
      <w:pPr>
        <w:ind w:left="3048" w:hanging="360"/>
      </w:pPr>
      <w:rPr>
        <w:rFonts w:hint="default"/>
      </w:rPr>
    </w:lvl>
    <w:lvl w:ilvl="8">
      <w:start w:val="1"/>
      <w:numFmt w:val="lowerRoman"/>
      <w:lvlText w:val="%9."/>
      <w:lvlJc w:val="left"/>
      <w:pPr>
        <w:ind w:left="3408" w:hanging="360"/>
      </w:pPr>
      <w:rPr>
        <w:rFonts w:hint="default"/>
      </w:rPr>
    </w:lvl>
  </w:abstractNum>
  <w:abstractNum w:abstractNumId="3" w15:restartNumberingAfterBreak="0">
    <w:nsid w:val="17460AA1"/>
    <w:multiLevelType w:val="multilevel"/>
    <w:tmpl w:val="9752C518"/>
    <w:lvl w:ilvl="0">
      <w:start w:val="1"/>
      <w:numFmt w:val="decimal"/>
      <w:pStyle w:val="Ttulo1"/>
      <w:lvlText w:val="%1"/>
      <w:lvlJc w:val="left"/>
      <w:pPr>
        <w:ind w:left="432" w:hanging="432"/>
      </w:pPr>
    </w:lvl>
    <w:lvl w:ilvl="1">
      <w:start w:val="1"/>
      <w:numFmt w:val="decimal"/>
      <w:pStyle w:val="Ttulo2"/>
      <w:lvlText w:val="%1.%2"/>
      <w:lvlJc w:val="left"/>
      <w:pPr>
        <w:ind w:left="576" w:hanging="576"/>
      </w:pPr>
      <w:rPr>
        <w:b/>
        <w:i w:val="0"/>
      </w:r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num w:numId="1">
    <w:abstractNumId w:val="4"/>
  </w:num>
  <w:num w:numId="2">
    <w:abstractNumId w:val="2"/>
    <w:lvlOverride w:ilvl="0">
      <w:lvl w:ilvl="0">
        <w:start w:val="1"/>
        <w:numFmt w:val="decimal"/>
        <w:pStyle w:val="AppendixH1"/>
        <w:lvlText w:val="%1 "/>
        <w:lvlJc w:val="left"/>
        <w:pPr>
          <w:ind w:left="454" w:hanging="45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AppendixH2"/>
        <w:lvlText w:val="%1.%2"/>
        <w:lvlJc w:val="left"/>
        <w:pPr>
          <w:ind w:left="454" w:hanging="646"/>
        </w:pPr>
        <w:rPr>
          <w:rFonts w:ascii="Times New Roman" w:hAnsi="Times New Roman" w:hint="default"/>
          <w:b/>
          <w:sz w:val="24"/>
        </w:rPr>
      </w:lvl>
    </w:lvlOverride>
    <w:lvlOverride w:ilvl="2">
      <w:lvl w:ilvl="2">
        <w:start w:val="1"/>
        <w:numFmt w:val="decimal"/>
        <w:pStyle w:val="AppendixH3"/>
        <w:lvlText w:val="%1.%2.%3"/>
        <w:lvlJc w:val="left"/>
        <w:pPr>
          <w:ind w:left="454" w:hanging="454"/>
        </w:pPr>
        <w:rPr>
          <w:rFonts w:ascii="Times New Roman" w:hAnsi="Times New Roman" w:hint="default"/>
          <w:i/>
          <w:sz w:val="24"/>
        </w:rPr>
      </w:lvl>
    </w:lvlOverride>
    <w:lvlOverride w:ilvl="3">
      <w:lvl w:ilvl="3">
        <w:start w:val="1"/>
        <w:numFmt w:val="decimal"/>
        <w:lvlText w:val="(%4)"/>
        <w:lvlJc w:val="left"/>
        <w:pPr>
          <w:ind w:left="1608" w:hanging="360"/>
        </w:pPr>
        <w:rPr>
          <w:rFonts w:hint="default"/>
        </w:rPr>
      </w:lvl>
    </w:lvlOverride>
    <w:lvlOverride w:ilvl="4">
      <w:lvl w:ilvl="4">
        <w:start w:val="1"/>
        <w:numFmt w:val="lowerLetter"/>
        <w:lvlText w:val="(%5)"/>
        <w:lvlJc w:val="left"/>
        <w:pPr>
          <w:ind w:left="1968" w:hanging="360"/>
        </w:pPr>
        <w:rPr>
          <w:rFonts w:hint="default"/>
        </w:rPr>
      </w:lvl>
    </w:lvlOverride>
    <w:lvlOverride w:ilvl="5">
      <w:lvl w:ilvl="5">
        <w:start w:val="1"/>
        <w:numFmt w:val="lowerRoman"/>
        <w:lvlText w:val="(%6)"/>
        <w:lvlJc w:val="left"/>
        <w:pPr>
          <w:ind w:left="2328" w:hanging="360"/>
        </w:pPr>
        <w:rPr>
          <w:rFonts w:hint="default"/>
        </w:rPr>
      </w:lvl>
    </w:lvlOverride>
    <w:lvlOverride w:ilvl="6">
      <w:lvl w:ilvl="6">
        <w:start w:val="1"/>
        <w:numFmt w:val="decimal"/>
        <w:lvlText w:val="%7."/>
        <w:lvlJc w:val="left"/>
        <w:pPr>
          <w:ind w:left="2688" w:hanging="360"/>
        </w:pPr>
        <w:rPr>
          <w:rFonts w:hint="default"/>
        </w:rPr>
      </w:lvl>
    </w:lvlOverride>
    <w:lvlOverride w:ilvl="7">
      <w:lvl w:ilvl="7">
        <w:start w:val="1"/>
        <w:numFmt w:val="lowerLetter"/>
        <w:lvlText w:val="%8."/>
        <w:lvlJc w:val="left"/>
        <w:pPr>
          <w:ind w:left="3048" w:hanging="360"/>
        </w:pPr>
        <w:rPr>
          <w:rFonts w:hint="default"/>
        </w:rPr>
      </w:lvl>
    </w:lvlOverride>
    <w:lvlOverride w:ilvl="8">
      <w:lvl w:ilvl="8">
        <w:start w:val="1"/>
        <w:numFmt w:val="lowerRoman"/>
        <w:lvlText w:val="%9."/>
        <w:lvlJc w:val="left"/>
        <w:pPr>
          <w:ind w:left="3408" w:hanging="360"/>
        </w:pPr>
        <w:rPr>
          <w:rFonts w:hint="default"/>
        </w:rPr>
      </w:lvl>
    </w:lvlOverride>
  </w:num>
  <w:num w:numId="3">
    <w:abstractNumId w:val="0"/>
  </w:num>
  <w:num w:numId="4">
    <w:abstractNumId w:val="3"/>
  </w:num>
  <w:num w:numId="5">
    <w:abstractNumId w:val="1"/>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uncil" w:val="true"/>
    <w:docVar w:name="CoverPageOnWordDoc" w:val="true"/>
    <w:docVar w:name="DocStatus" w:val="Green"/>
    <w:docVar w:name="DocuWriteMetaData" w:val="&lt;metadataset docuwriteversion=&quot;4.1.22&quot; technicalblockguid=&quot;5486967145292764202&quot;&gt;_x000d__x000a_  &lt;metadata key=&quot;md_DocumentLanguages&quot;&gt;_x000d__x000a_    &lt;basicdatatypelist&gt;_x000d__x000a_      &lt;language key=&quot;EN&quot; text=&quot;EN&quot; /&gt;_x000d__x000a_    &lt;/basicdatatypelist&gt;_x000d__x000a_  &lt;/metadata&gt;_x000d__x000a_  &lt;metadata key=&quot;md_OriginalLanguages&quot;&gt;_x000d__x000a_    &lt;basicdatatypelist&gt;_x000d__x000a_      &lt;language key=&quot;EN&quot; text=&quot;EN&quot; /&gt;_x000d__x000a_    &lt;/basicdatatypelist&gt;_x000d__x000a_  &lt;/metadata&gt;_x000d__x000a_  &lt;metadata key=&quot;md_DocumentLanguagesAutomatic&quot;&gt;_x000d__x000a_    &lt;text&gt;&lt;/text&gt;_x000d__x000a_  &lt;/metadata&gt;_x000d__x000a_  &lt;metadata key=&quot;md_UniqueHeading&quot;&gt;_x000d__x000a_    &lt;basicdatatype&gt;_x000d__x000a_      &lt;heading key=&quot;uh_65&quot; text=&quot;PROPOSAL&quot; /&gt;_x000d__x000a_    &lt;/basicdatatype&gt;_x000d__x000a_  &lt;/metadata&gt;_x000d__x000a_  &lt;metadata key=&quot;md_HeadingText&quot;&gt;_x000d__x000a_    &lt;headingtext text=&quot;PROPOSAL&quot;&gt;_x000d__x000a_      &lt;formattedtext&gt;_x000d__x000a_        &lt;xaml text=&quot;PROPOSAL&quot;&gt;&amp;lt;FlowDocument xmlns=&quot;http://schemas.microsoft.com/winfx/2006/xaml/presentation&quot;&amp;gt;&amp;lt;Paragraph&amp;gt;PROPOSAL&amp;lt;/Paragraph&amp;gt;&amp;lt;/FlowDocument&amp;gt;&lt;/xaml&gt;_x000d__x000a_      &lt;/formattedtext&gt;_x000d__x000a_    &lt;/headingtext&gt;_x000d__x000a_  &lt;/metadata&gt;_x000d__x000a_  &lt;metadata key=&quot;md_DocumentGroup&quot;&gt;_x000d__x000a_    &lt;basicdatatype&gt;_x000d__x000a_      &lt;document_group key=&quot;dg_12&quot; text=&quot;Cover Page&quot; /&gt;_x000d__x000a_    &lt;/basicdatatype&gt;_x000d__x000a_  &lt;/metadata&gt;_x000d__x000a_  &lt;metadata key=&quot;md_DocumentType&quot;&gt;_x000d__x000a_    &lt;basicdatatype&gt;_x000d__x000a_      &lt;doc_type key=&quot;dt_ST&quot; text=&quot;ST&quot; /&gt;_x000d__x000a_    &lt;/basicdatatype&gt;_x000d__x000a_  &lt;/metadata&gt;_x000d__x000a_  &lt;metadata key=&quot;md_InstitutionalFramework&quot;&gt;_x000d__x000a_    &lt;basicdatatype&gt;_x000d__x000a_      &lt;framework key=&quot;if_01&quot; text=&quot;Council of the European Union&quot; institution=&quot;instfr_institution&quot; acronym=&quot;instfr_acronym&quot; /&gt;_x000d__x000a_    &lt;/basicdatatype&gt;_x000d__x000a_  &lt;/metadata&gt;_x000d__x000a_  &lt;metadata key=&quot;md_DraftNote&quot; /&gt;_x000d__x000a_  &lt;metadata key=&quot;md_DocumentLocation&quot;&gt;_x000d__x000a_    &lt;basicdatatype&gt;_x000d__x000a_      &lt;location key=&quot;loc_01&quot; text=&quot;Brussels&quot; /&gt;_x000d__x000a_    &lt;/basicdatatype&gt;_x000d__x000a_  &lt;/metadata&gt;_x000d__x000a_  &lt;metadata key=&quot;md_DocumentDate&quot;&gt;_x000d__x000a_    &lt;text&gt;2018-06-08&lt;/text&gt;_x000d__x000a_  &lt;/metadata&gt;_x000d__x000a_  &lt;metadata key=&quot;md_Prefix&quot;&gt;_x000d__x000a_    &lt;text&gt;&lt;/text&gt;_x000d__x000a_  &lt;/metadata&gt;_x000d__x000a_  &lt;metadata key=&quot;md_DocumentNumber&quot;&gt;_x000d__x000a_    &lt;text&gt;9871&lt;/text&gt;_x000d__x000a_  &lt;/metadata&gt;_x000d__x000a_  &lt;metadata key=&quot;md_YearDocumentNumber&quot;&gt;_x000d__x000a_    &lt;text&gt;2018&lt;/text&gt;_x000d__x000a_  &lt;/metadata&gt;_x000d__x000a_  &lt;metadata key=&quot;md_Suffixes&quot;&gt;_x000d__x000a_    &lt;text&gt;ADD 5&lt;/text&gt;_x000d__x000a_  &lt;/metadata&gt;_x000d__x000a_  &lt;metadata key=&quot;md_SuffixLanguagesInvolved&quot;&gt;_x000d__x000a_    &lt;text&gt;&lt;/text&gt;_x000d__x000a_  &lt;/metadata&gt;_x000d__x000a_  &lt;metadata key=&quot;md_FirstRevNumber&quot;&gt;_x000d__x000a_    &lt;text&gt;&lt;/text&gt;_x000d__x000a_  &lt;/metadata&gt;_x000d__x000a_  &lt;metadata key=&quot;md_Distribution&quot;&gt;_x000d__x000a_    &lt;basicdatatype&gt;_x000d__x000a_      &lt;distribution key=&quot;dis_01&quot; text=&quot;PUBLIC&quot; /&gt;_x000d__x000a_    &lt;/basicdatatype&gt;_x000d__x000a_  &lt;/metadata&gt;_x000d__x000a_  &lt;metadata key=&quot;md_SubjectCodes&quot;&gt;_x000d__x000a_    &lt;textlist&gt;_x000d__x000a_      &lt;text&gt;RECH 275&lt;/text&gt;_x000d__x000a_      &lt;text&gt;COMPET 425&lt;/text&gt;_x000d__x000a_      &lt;text&gt;ATO 33&lt;/text&gt;_x000d__x000a_      &lt;text&gt;CADREFIN 82&lt;/text&gt;_x000d__x000a_      &lt;text&gt;IA 191&lt;/text&gt;_x000d__x000a_    &lt;/textlist&gt;_x000d__x000a_  &lt;/metadata&gt;_x000d__x000a_  &lt;metadata key=&quot;md_Contact&quot; /&gt;_x000d__x000a_  &lt;metadata key=&quot;md_ContactPhoneFax&quot; /&gt;_x000d__x000a_  &lt;metadata key=&quot;md_MeetingVenue&quot; /&gt;_x000d__x000a_  &lt;metadata key=&quot;md_ProvisionalVersion&quot;&gt;_x000d__x000a_    &lt;text&gt;&lt;/text&gt;_x000d__x000a_  &lt;/metadata&gt;_x000d__x000a_  &lt;metadata key=&quot;md_PresidentInformation&quot; /&gt;_x000d__x000a_  &lt;metadata key=&quot;md_MeetingNumber&quot; /&gt;_x000d__x000a_  &lt;metadata key=&quot;md_CouncilConfiguration&quot; /&gt;_x000d__x000a_  &lt;metadata key=&quot;md_CouncilIssue&quot; /&gt;_x000d__x000a_  &lt;metadata key=&quot;md_PhoneNumber&quot; /&gt;_x000d__x000a_  &lt;metadata key=&quot;md_TypeOfHeading&quot;&gt;_x000d__x000a_    &lt;basicdatatype&gt;_x000d__x000a_      &lt;typeofheading key=&quot;&quot; /&gt;_x000d__x000a_    &lt;/basicdatatype&gt;_x000d__x000a_  &lt;/metadata&gt;_x000d__x000a_  &lt;metadata key=&quot;md_ReplyName&quot; /&gt;_x000d__x000a_  &lt;metadata key=&quot;md_EPQuestionsData&quot; /&gt;_x000d__x000a_  &lt;metadata key=&quot;md_Deadline&quot; /&gt;_x000d__x000a_  &lt;metadata key=&quot;md_InterinstitutionalFiles&quot;&gt;_x000d__x000a_    &lt;textlist&gt;_x000d__x000a_      &lt;text&gt;2018/0226 (NLE)&lt;/text&gt;_x000d__x000a_    &lt;/textlist&gt;_x000d__x000a_  &lt;/metadata&gt;_x000d__x000a_  &lt;metadata key=&quot;md_AdditionalReferences&quot;&gt;_x000d__x000a_    &lt;textlist /&gt;_x000d__x000a_  &lt;/metadata&gt;_x000d__x000a_  &lt;metadata key=&quot;md_LEXNumber&quot;&gt;_x000d__x000a_    &lt;text&gt;&lt;/text&gt;_x000d__x000a_  &lt;/metadata&gt;_x000d__x000a_  &lt;metadata key=&quot;md_SousEmbargo&quot;&gt;_x000d__x000a_    &lt;text&gt;&lt;/text&gt;_x000d__x000a_  &lt;/metadata&gt;_x000d__x000a_  &lt;metadata key=&quot;md_DraftVersion&quot;&gt;_x000d__x000a_    &lt;text&gt;&lt;/text&gt;_x000d__x000a_  &lt;/metadata&gt;_x000d__x000a_  &lt;metadata key=&quot;md_Originator&quot;&gt;_x000d__x000a_    &lt;basicdatatype&gt;_x000d__x000a_      &lt;originator key=&quot;or_01&quot; text=&quot;Secretary-General of the European Commission, signed by Mr Jordi AYET PUIGARNAU, Director&quot; /&gt;_x000d__x000a_    &lt;/basicdatatype&gt;_x000d__x000a_  &lt;/metadata&gt;_x000d__x000a_  &lt;metadata key=&quot;md_Recipient&quot;&gt;_x000d__x000a_    &lt;basicdatatype&gt;_x000d__x000a_      &lt;recipient key=&quot;re_02&quot; text=&quot;Mr Jeppe TRANHOLM-MIKKELSEN, Secretary-General of the Council of the European Union&quot; /&gt;_x000d__x000a_    &lt;/basicdatatype&gt;_x000d__x000a_  &lt;/metadata&gt;_x000d__x000a_  &lt;metadata key=&quot;md_DateOfReceipt&quot;&gt;_x000d__x000a_    &lt;text&gt;2018-06-07&lt;/text&gt;_x000d__x000a_  &lt;/metadata&gt;_x000d__x000a_  &lt;metadata key=&quot;md_FreeDate&quot;&gt;_x000d__x000a_    &lt;textlist /&gt;_x000d__x000a_  &lt;/metadata&gt;_x000d__x000a_  &lt;metadata key=&quot;md_PrecedingDocuments&quot;&gt;_x000d__x000a_    &lt;textlist /&gt;_x000d__x000a_  &lt;/metadata&gt;_x000d__x000a_  &lt;metadata key=&quot;md_CommissionDocuments&quot;&gt;_x000d__x000a_    &lt;textlist&gt;_x000d__x000a_      &lt;text&gt;SWD(2018) 308 final&lt;/text&gt;_x000d__x000a_    &lt;/textlist&gt;_x000d__x000a_  &lt;/metadata&gt;_x000d__x000a_  &lt;metadata key=&quot;md_DocForDWNDCL&quot; /&gt;_x000d__x000a_  &lt;metadata key=&quot;md_Distribution_NewClassification&quot; /&gt;_x000d__x000a_  &lt;metadata key=&quot;md_DWNDCLAuthorization&quot; /&gt;_x000d__x000a_  &lt;metadata key=&quot;md_DateOfAuthorization&quot; /&gt;_x000d__x000a_  &lt;metadata key=&quot;md_MeetingLocation&quot; /&gt;_x000d__x000a_  &lt;metadata key=&quot;md_MeetingDate&quot; /&gt;_x000d__x000a_  &lt;metadata key=&quot;md_DateFormatOr&quot;&gt;_x000d__x000a_    &lt;text&gt;&lt;/text&gt;_x000d__x000a_  &lt;/metadata&gt;_x000d__x000a_  &lt;metadata key=&quot;md_MeetingInformation&quot; /&gt;_x000d__x000a_  &lt;metadata key=&quot;md_Item&quot; /&gt;_x000d__x000a_  &lt;metadata key=&quot;md_Subject&quot;&gt;_x000d__x000a_    &lt;xaml text=&quot;COMMISSION STAFF WORKING DOCUMENT EXECUTIVE SUMMARY OF THE IMPACT ASSESSMENT Accompanying the document Proposals for a REGULATION OF THE EUROPEAN PARLIAMENT AND OF THE COUNCIL establishing Horizon Europe &amp;#8211; the Framework Programme for Research and Innovation, laying down its rules for participation and dissemination DECISION OF THE EUROPEAN PARLIAMENT AND OF THE COUNCIL on establishing the specific programme implementing Horizon Europe &amp;#8211; the Framework Programme for Research and Innovation COUNCIL REGULATION establishing the Research and Training Programme of the European Atomic Energy Community for the period 2021-2025 complementing Horizon Europe &amp;#8211; the Framework Programme for Research and Innovation&quot;&gt;&amp;lt;FlowDocument FontFamily=&quot;Arial Unicode MS&quot; FontSize=&quot;12&quot; PagePadding=&quot;5,0,5,0&quot; AllowDrop=&quot;False&quot; xmlns=&quot;http://schemas.microsoft.com/winfx/2006/xaml/presentation&quot;&amp;gt;&amp;lt;Paragraph&amp;gt;COMMISSION STAFF WORKING DOCUMENT EXECUTIVE SUMMARY OF THE IMPACT ASSESSMENT Accompanying the document Proposals for a REGULATION OF THE EUROPEAN PARLIAMENT AND OF THE COUNCIL establishing Horizon Europe &amp;#8211; the Framework Programme for Research and Innovation, laying down its rules for participation and dissemination DECISION OF THE EUROPEAN PARLIAMENT AND OF THE COUNCIL on establishing the specific programme implementing Horizon Europe &amp;#8211; the Framework Programme for Research and Innovation COUNCIL REGULATION establishing the Research and Training Programme of the European Atomic Energy Community for the period 2021-2025 complementing Horizon Europe &amp;#8211; the Framework Programme for Research and Innovation&amp;lt;/Paragraph&amp;gt;&amp;lt;/FlowDocument&amp;gt;&lt;/xaml&gt;_x000d__x000a_  &lt;/metadata&gt;_x000d__x000a_  &lt;metadata key=&quot;md_SubjectFootnote&quot; /&gt;_x000d__x000a_  &lt;metadata key=&quot;md_DG&quot;&gt;_x000d__x000a_    &lt;text&gt;DG G 3 C&lt;/text&gt;_x000d__x000a_  &lt;/metadata&gt;_x000d__x000a_  &lt;metadata key=&quot;md_Initials&quot;&gt;_x000d__x000a_    &lt;text&gt;AF/evt&lt;/text&gt;_x000d__x000a_  &lt;/metadata&gt;_x000d__x000a_  &lt;metadata key=&quot;md_RectifProcedureType&quot;&gt;_x000d__x000a_    &lt;basicdatatype&gt;_x000d__x000a_      &lt;rectifprocedure key=&quot;&quot; /&gt;_x000d__x000a_    &lt;/basicdatatype&gt;_x000d__x000a_  &lt;/metadata&gt;_x000d__x000a_  &lt;metadata key=&quot;md_RectifLanguagesBase&quot; /&gt;_x000d__x000a_  &lt;metadata key=&quot;md_RectifLanguagesConcerned&quot; /&gt;_x000d__x000a_  &lt;metadata key=&quot;md_RectifIsLangSpec&quot; /&gt;_x000d__x000a_  &lt;metadata key=&quot;md_RectifLangSpecValue&quot; /&gt;_x000d__x000a_  &lt;metadata key=&quot;md_RectifNumberOfMistakes&quot; /&gt;_x000d__x000a_  &lt;metadata key=&quot;md_RectifHasRemarks&quot; /&gt;_x000d__x000a_  &lt;metadata key=&quot;md_RectifUseDocRef&quot; /&gt;_x000d__x000a_  &lt;metadata key=&quot;md_RectifDocRefNumber&quot; /&gt;_x000d__x000a_  &lt;metadata key=&quot;md_RectifDocRefDate&quot; /&gt;_x000d__x000a_  &lt;metadata key=&quot;md_RectifUseOJRef&quot; /&gt;_x000d__x000a_  &lt;metadata key=&quot;md_RectifOJRefType&quot; /&gt;_x000d__x000a_  &lt;metadata key=&quot;md_RectifOJLRefNumber&quot; /&gt;_x000d__x000a_  &lt;metadata key=&quot;md_RectifOJCRefNumber&quot; /&gt;_x000d__x000a_  &lt;metadata key=&quot;md_RectifOJLRefDate&quot; /&gt;_x000d__x000a_  &lt;metadata key=&quot;md_RectifOJCRefDate&quot; /&gt;_x000d__x000a_  &lt;metadata key=&quot;md_RectifOJLRefPage&quot; /&gt;_x000d__x000a_  &lt;metadata key=&quot;md_RectifOJCRefPage&quot; /&gt;_x000d__x000a_  &lt;metadata key=&quot;md_RectifUseOJCorRef&quot; /&gt;_x000d__x000a_  &lt;metadata key=&quot;md_RectifOJCorRefNumber&quot; /&gt;_x000d__x000a_  &lt;metadata key=&quot;md_RectifOJCorRefDate&quot; /&gt;_x000d__x000a_  &lt;metadata key=&quot;md_RectifOJCorRefPage&quot; /&gt;_x000d__x000a_  &lt;metadata key=&quot;md_RectifTimeLimit&quot; /&gt;_x000d__x000a_  &lt;metadata key=&quot;md_RectifCodecision&quot; /&gt;_x000d__x000a_  &lt;metadata key=&quot;md_RectifCorrectionNewLang&quot; /&gt;_x000d__x000a_  &lt;metadata key=&quot;md_RectifAgreement&quot; /&gt;_x000d__x000a_  &lt;metadata key=&quot;md_RectifSignature&quot; /&gt;_x000d__x000a_  &lt;metadata key=&quot;md_RectifLastMergeDate&quot; /&gt;_x000d__x000a_  &lt;metadata key=&quot;md_Rectif_Source1_UniqueHeading&quot;&gt;_x000d__x000a_    &lt;basicdatatype&gt;_x000d__x000a_      &lt;text&gt;&lt;/text&gt;_x000d__x000a_    &lt;/basicdatatype&gt;_x000d__x000a_  &lt;/metadata&gt;_x000d__x000a_  &lt;metadata key=&quot;md_Rectif_Source1_DocumentType&quot;&gt;_x000d__x000a_    &lt;basicdatatype&gt;_x000d__x000a_      &lt;doc_type key=&quot;&quot; /&gt;_x000d__x000a_    &lt;/basicdatatype&gt;_x000d__x000a_  &lt;/metadata&gt;_x000d__x000a_  &lt;metadata key=&quot;md_Rectif_Source1_DocumentNumber&quot;&gt;_x000d__x000a_    &lt;text&gt;&lt;/text&gt;_x000d__x000a_  &lt;/metadata&gt;_x000d__x000a_  &lt;metadata key=&quot;md_Rectif_Source1_YearDocumentNumber&quot;&gt;_x000d__x000a_    &lt;text&gt;2018&lt;/text&gt;_x000d__x000a_  &lt;/metadata&gt;_x000d__x000a_  &lt;metadata key=&quot;md_Rectif_Source1_Suffixes&quot;&gt;_x000d__x000a_    &lt;text&gt;&lt;/text&gt;_x000d__x000a_  &lt;/metadata&gt;_x000d__x000a_  &lt;metadata key=&quot;md_Rectif_Source2_UniqueHeading&quot;&gt;_x000d__x000a_    &lt;basicdatatype&gt;_x000d__x000a_      &lt;text&gt;&lt;/text&gt;_x000d__x000a_    &lt;/basicdatatype&gt;_x000d__x000a_  &lt;/metadata&gt;_x000d__x000a_  &lt;metadata key=&quot;md_Rectif_Source2_DocumentType&quot;&gt;_x000d__x000a_    &lt;basicdatatype&gt;_x000d__x000a_      &lt;doc_type key=&quot;&quot; /&gt;_x000d__x000a_    &lt;/basicdatatype&gt;_x000d__x000a_  &lt;/metadata&gt;_x000d__x000a_  &lt;metadata key=&quot;md_Rectif_Source2_DocumentNumber&quot;&gt;_x000d__x000a_    &lt;text&gt;&lt;/text&gt;_x000d__x000a_  &lt;/metadata&gt;_x000d__x000a_  &lt;metadata key=&quot;md_Rectif_Source2_YearDocumentNumber&quot;&gt;_x000d__x000a_    &lt;text&gt;2018&lt;/text&gt;_x000d__x000a_  &lt;/metadata&gt;_x000d__x000a_  &lt;metadata key=&quot;md_Rectif_Source2_Suffixes&quot;&gt;_x000d__x000a_    &lt;text&gt;&lt;/text&gt;_x000d__x000a_  &lt;/metadata&gt;_x000d__x000a_  &lt;metadata key=&quot;md_CoverPageDocWithCouncilFooter&quot;&gt;_x000d__x000a_    &lt;text&gt;false&lt;/text&gt;_x000d__x000a_  &lt;/metadata&gt;_x000d__x000a_  &lt;metadata key=&quot;md_SourceDocLanguage&quot;&gt;_x000d__x000a_    &lt;text&gt;EN&lt;/text&gt;_x000d__x000a_  &lt;/metadata&gt;_x000d__x000a_  &lt;metadata key=&quot;md_SourceDocType&quot;&gt;_x000d__x000a_    &lt;text&gt;COMMISSION STAFF WORKING DOCUMENT_x000d__x000a__x000d__x000a_EXECUTIVE SUMMARY OF THE IMPACT ASSESSMENT_x000d__x000a_&lt;/text&gt;_x000d__x000a_  &lt;/metadata&gt;_x000d__x000a_  &lt;metadata key=&quot;md_SourceDocTitle&quot;&gt;_x000d__x000a_    &lt;text&gt;Accompanying the document _x000d__x000a_Proposals for a _x000d__x000a_REGULATION OF THE EUROPEAN PARLIAMENT AND OF THE COUNCIL establishing Horizon Europe &amp;#8211; the Framework Programme for Research and Innovation, laying down its rules for participation and dissemination_x000d__x000a__x000d__x000a_DECISION OF THE EUROPEAN PARLIAMENT AND OF THE COUNCIL on establishing the specific programme implementing Horizon Europe &amp;#8211; the Framework Programme for Research and Innovation_x000d__x000a__x000d__x000a_COUNCIL REGULATION establishing the Research and Training Programme of the European Atomic Energy Community for the period 2021-2025 complementing Horizon Europe &amp;#8211; the Framework Programme for Research and Innovation&lt;/text&gt;_x000d__x000a_  &lt;/metadata&gt;_x000d__x000a_  &lt;metadata key=&quot;md_SourceDocIsCECDoc&quot;&gt;_x000d__x000a_    &lt;text&gt;true&lt;/text&gt;_x000d__x000a_  &lt;/metadata&gt;_x000d__x000a_  &lt;metadata key=&quot;md_NB1&quot; /&gt;_x000d__x000a_  &lt;metadata key=&quot;md_NB2&quot; /&gt;_x000d__x000a_  &lt;metadata key=&quot;md_NB3&quot; /&gt;_x000d__x000a_  &lt;metadata key=&quot;md_NB4&quot; /&gt;_x000d__x000a_  &lt;metadata key=&quot;md_Meetings&quot;&gt;_x000d__x000a_    &lt;meetings /&gt;_x000d__x000a_  &lt;/metadata&gt;_x000d__x000a_  &lt;metadata key=&quot;md_VisualRepresentation&quot;&gt;_x000d__x000a_    &lt;basicdatatype&gt;_x000d__x000a_      &lt;visualrepresentation key=&quot;visrep_02&quot; text=&quot;New visual identity&quot; /&gt;_x000d__x000a_    &lt;/basicdatatype&gt;_x000d__x000a_  &lt;/metadata&gt;_x000d__x000a_  &lt;metadata key=&quot;md_LetterData&quot; /&gt;_x000d__x000a_  &lt;metadata key=&quot;md_InstFrSubWordmark&quot;&gt;_x000d__x000a_    &lt;xaml text=&quot;&quot;&gt;&amp;lt;FlowDocument FontFamily=&quot;Arial Unicode MS&quot; FontSize=&quot;12&quot; AllowDrop=&quot;False&quot; xmlns=&quot;http://schemas.microsoft.com/winfx/2006/xaml/presentation&quot; /&amp;gt;&lt;/xaml&gt;_x000d__x000a_  &lt;/metadata&gt;_x000d__x000a_  &lt;metadata key=&quot;md_WorkflowLinkStatus&quot;&gt;_x000d__x000a_    &lt;text&gt;Linked&lt;/text&gt;_x000d__x000a_  &lt;/metadata&gt;_x000d__x000a_  &lt;metadata key=&quot;md_Caveat&quot;&gt;_x000d__x000a_    &lt;text&gt;&lt;/text&gt;_x000d__x000a_  &lt;/metadata&gt;_x000d__x000a_&lt;/metadataset&gt;"/>
    <w:docVar w:name="LW_ACCOMPAGNANT.CP" w:val="Accompanying the document"/>
    <w:docVar w:name="LW_CORRIGENDUM" w:val="&lt;UNUSED&gt;"/>
    <w:docVar w:name="LW_COVERPAGE_EXISTS" w:val="True"/>
    <w:docVar w:name="LW_COVERPAGE_GUID" w:val="3F08A3BF-C4DA-4900-A179-8C96F581E79C"/>
    <w:docVar w:name="LW_COVERPAGE_TYPE" w:val="1"/>
    <w:docVar w:name="LW_CROSSREFERENCE" w:val="{COM(2018) 435 final}_x000d__x000a_{COM(2018) 436 final}_x000a_{COM(2018) 437 final}_x000a_{SEC(2018) 291 final}_x000d__x000a_{SWD(2018) 307 final}_x000d__x000a_{SWD(2018) 309 final}"/>
    <w:docVar w:name="LW_DocType" w:val="NORMAL"/>
    <w:docVar w:name="LW_EMISSION" w:val="7.6.2018"/>
    <w:docVar w:name="LW_EMISSION_ISODATE" w:val="2018-06-07"/>
    <w:docVar w:name="LW_EMISSION_LOCATION" w:val="BRX"/>
    <w:docVar w:name="LW_EMISSION_PREFIX" w:val="Brussels,"/>
    <w:docVar w:name="LW_EMISSION_SUFFIX" w:val="&lt;EMPTY&gt;"/>
    <w:docVar w:name="LW_ID_DOCTYPE_NONLW" w:val="CP-027"/>
    <w:docVar w:name="LW_LANGUE" w:val="EN"/>
    <w:docVar w:name="LW_LEVEL_OF_SENSITIVITY" w:val="Standard treatment"/>
    <w:docVar w:name="LW_NOM.INST" w:val="EUROPEAN COMMISSION"/>
    <w:docVar w:name="LW_NOM.INST_JOINTDOC" w:val="&lt;EMPTY&gt;"/>
    <w:docVar w:name="LW_OBJETACTEPRINCIPAL.CP" w:val="REGULATION OF THE EUROPEAN PARLIAMENT AND OF THE COUNCIL establishing Horizon Europe \u8211? the Framework Programme for Research and Innovation, laying down its rules for participation and dissemination_x000b__x000b_DECISION OF THE EUROPEAN PARLIAMENT AND OF THE COUNCIL on establishing the specific programme implementing Horizon Europe \u8211? the Framework Programme for Research and Innovation_x000b__x000b_COUNCIL REGULATION establishing the Research and Training Programme of the European Atomic Energy Community for the period 2021-2025 complementing Horizon Europe \u8211? the Framework Programme for Research and Innovation"/>
    <w:docVar w:name="LW_PART_NBR" w:val="1"/>
    <w:docVar w:name="LW_PART_NBR_TOTAL" w:val="1"/>
    <w:docVar w:name="LW_REF.INST.NEW" w:val="SWD"/>
    <w:docVar w:name="LW_REF.INST.NEW_ADOPTED" w:val="final"/>
    <w:docVar w:name="LW_REF.INST.NEW_TEXT" w:val="(2018) 308"/>
    <w:docVar w:name="LW_REF.INTERNE" w:val="&lt;UNUSED&gt;"/>
    <w:docVar w:name="LW_SENSITIVITY" w:val="&lt;?xml version=&quot;1.0&quot; encoding=&quot;utf-8&quot;?&gt;_x000d__x000a_&lt;SensitivityLevel xmlns:xsi=&quot;http://www.w3.org/2001/XMLSchema-instance&quot; xmlns:xsd=&quot;http://www.w3.org/2001/XMLSchema&quot; id=&quot;standard&quot;&gt;_x000d__x000a_  &lt;nicename EN=&quot;Standard treatment&quot; FR=&quot;Traitement standard&quot; /&gt;_x000d__x000a_  &lt;documentProperty&gt;Standard treatment&lt;/documentProperty&gt;_x000d__x000a_  &lt;marking xsi:nil=&quot;true&quot; /&gt;_x000d__x000a_  &lt;limited xsi:nil=&quot;true&quot; /&gt;_x000d__x000a_  &lt;detached xsi:nil=&quot;true&quot; /&gt;_x000d__x000a_  &lt;declassify xsi:nil=&quot;true&quot; /&gt;_x000d__x000a_  &lt;headerTexts xsi:nil=&quot;true&quot; /&gt;_x000d__x000a_  &lt;footerTexts xsi:nil=&quot;true&quot; /&gt;_x000d__x000a_  &lt;footnote xsi:nil=&quot;true&quot; /&gt;_x000d__x000a_  &lt;isRestricted&gt;false&lt;/isRestricted&gt;_x000d__x000a_&lt;/SensitivityLevel&gt;"/>
    <w:docVar w:name="LW_SUPERTITRE" w:val="&lt;UNUSED&gt;"/>
    <w:docVar w:name="LW_TITRE.OBJ.CP" w:val="&lt;UNUSED&gt;"/>
    <w:docVar w:name="LW_TYPE.DOC.CP" w:val="COMMISSION STAFF WORKING DOCUMENT_x000b__x000b_EXECUTIVE SUMMARY OF THE IMPACT ASSESSMENT_x000b_"/>
    <w:docVar w:name="LW_TYPEACTEPRINCIPAL.CP" w:val="Proposals for a "/>
  </w:docVars>
  <w:rsids>
    <w:rsidRoot w:val="00426509"/>
    <w:rsid w:val="00426509"/>
    <w:rsid w:val="00584150"/>
    <w:rsid w:val="006D554B"/>
    <w:rsid w:val="007012E8"/>
    <w:rsid w:val="0078003A"/>
    <w:rsid w:val="008B1208"/>
    <w:rsid w:val="00BE412B"/>
  </w:rsids>
  <m:mathPr>
    <m:mathFont m:val="Cambria Math"/>
    <m:brkBin m:val="before"/>
    <m:brkBinSub m:val="--"/>
    <m:smallFrac m:val="0"/>
    <m:dispDef/>
    <m:lMargin m:val="0"/>
    <m:rMargin m:val="0"/>
    <m:defJc m:val="centerGroup"/>
    <m:wrapIndent m:val="1440"/>
    <m:intLim m:val="subSup"/>
    <m:naryLim m:val="undOvr"/>
  </m:mathPr>
  <w:themeFontLang w:val="fr-BE"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D112D0E"/>
  <w15:docId w15:val="{4B7564F9-67ED-4428-8BF0-94674C3E1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1"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Text1"/>
    <w:link w:val="Ttulo1Car"/>
    <w:qFormat/>
    <w:pPr>
      <w:keepNext/>
      <w:numPr>
        <w:numId w:val="4"/>
      </w:numPr>
      <w:spacing w:before="240" w:after="240" w:line="240" w:lineRule="auto"/>
      <w:jc w:val="both"/>
      <w:outlineLvl w:val="0"/>
    </w:pPr>
    <w:rPr>
      <w:rFonts w:ascii="Times New Roman" w:eastAsia="Times New Roman" w:hAnsi="Times New Roman" w:cs="Times New Roman"/>
      <w:b/>
      <w:smallCaps/>
      <w:sz w:val="24"/>
      <w:szCs w:val="20"/>
      <w:lang w:val="en-GB"/>
    </w:rPr>
  </w:style>
  <w:style w:type="paragraph" w:styleId="Ttulo2">
    <w:name w:val="heading 2"/>
    <w:basedOn w:val="Normal"/>
    <w:next w:val="Text2"/>
    <w:link w:val="Ttulo2Car"/>
    <w:qFormat/>
    <w:pPr>
      <w:keepNext/>
      <w:numPr>
        <w:ilvl w:val="1"/>
        <w:numId w:val="4"/>
      </w:numPr>
      <w:spacing w:after="240" w:line="240" w:lineRule="auto"/>
      <w:jc w:val="both"/>
      <w:outlineLvl w:val="1"/>
    </w:pPr>
    <w:rPr>
      <w:rFonts w:ascii="Times New Roman" w:eastAsia="Times New Roman" w:hAnsi="Times New Roman" w:cs="Times New Roman"/>
      <w:b/>
      <w:sz w:val="24"/>
      <w:szCs w:val="20"/>
      <w:lang w:val="en-GB"/>
    </w:rPr>
  </w:style>
  <w:style w:type="paragraph" w:styleId="Ttulo3">
    <w:name w:val="heading 3"/>
    <w:basedOn w:val="Normal"/>
    <w:next w:val="Normal"/>
    <w:link w:val="Ttulo3Car"/>
    <w:qFormat/>
    <w:pPr>
      <w:keepNext/>
      <w:numPr>
        <w:ilvl w:val="2"/>
        <w:numId w:val="4"/>
      </w:numPr>
      <w:spacing w:before="120" w:after="120" w:line="240" w:lineRule="auto"/>
      <w:jc w:val="both"/>
      <w:outlineLvl w:val="2"/>
    </w:pPr>
    <w:rPr>
      <w:rFonts w:ascii="Times New Roman" w:eastAsia="Times New Roman" w:hAnsi="Times New Roman" w:cs="Times New Roman"/>
      <w:b/>
      <w:i/>
      <w:sz w:val="24"/>
      <w:szCs w:val="20"/>
      <w:lang w:val="en-GB"/>
    </w:rPr>
  </w:style>
  <w:style w:type="paragraph" w:styleId="Ttulo4">
    <w:name w:val="heading 4"/>
    <w:basedOn w:val="Normal"/>
    <w:next w:val="Normal"/>
    <w:link w:val="Ttulo4Car"/>
    <w:qFormat/>
    <w:pPr>
      <w:keepNext/>
      <w:numPr>
        <w:ilvl w:val="3"/>
        <w:numId w:val="4"/>
      </w:numPr>
      <w:spacing w:after="240" w:line="240" w:lineRule="auto"/>
      <w:jc w:val="both"/>
      <w:outlineLvl w:val="3"/>
    </w:pPr>
    <w:rPr>
      <w:rFonts w:ascii="Times New Roman" w:eastAsia="Times New Roman" w:hAnsi="Times New Roman" w:cs="Times New Roman"/>
      <w:sz w:val="24"/>
      <w:szCs w:val="20"/>
      <w:lang w:val="en-GB"/>
    </w:rPr>
  </w:style>
  <w:style w:type="paragraph" w:styleId="Ttulo5">
    <w:name w:val="heading 5"/>
    <w:basedOn w:val="Normal"/>
    <w:next w:val="Normal"/>
    <w:link w:val="Ttulo5Car"/>
    <w:uiPriority w:val="9"/>
    <w:semiHidden/>
    <w:unhideWhenUsed/>
    <w:qFormat/>
    <w:pPr>
      <w:keepNext/>
      <w:keepLines/>
      <w:numPr>
        <w:ilvl w:val="4"/>
        <w:numId w:val="4"/>
      </w:numPr>
      <w:spacing w:before="200" w:after="0" w:line="240" w:lineRule="auto"/>
      <w:jc w:val="both"/>
      <w:outlineLvl w:val="4"/>
    </w:pPr>
    <w:rPr>
      <w:rFonts w:asciiTheme="majorHAnsi" w:eastAsiaTheme="majorEastAsia" w:hAnsiTheme="majorHAnsi" w:cstheme="majorBidi"/>
      <w:color w:val="243F60" w:themeColor="accent1" w:themeShade="7F"/>
      <w:sz w:val="24"/>
      <w:szCs w:val="20"/>
      <w:lang w:val="en-GB"/>
    </w:rPr>
  </w:style>
  <w:style w:type="paragraph" w:styleId="Ttulo6">
    <w:name w:val="heading 6"/>
    <w:basedOn w:val="Normal"/>
    <w:next w:val="Normal"/>
    <w:link w:val="Ttulo6Car"/>
    <w:uiPriority w:val="9"/>
    <w:semiHidden/>
    <w:unhideWhenUsed/>
    <w:qFormat/>
    <w:pPr>
      <w:keepNext/>
      <w:keepLines/>
      <w:numPr>
        <w:ilvl w:val="5"/>
        <w:numId w:val="4"/>
      </w:numPr>
      <w:spacing w:before="200" w:after="0" w:line="240" w:lineRule="auto"/>
      <w:jc w:val="both"/>
      <w:outlineLvl w:val="5"/>
    </w:pPr>
    <w:rPr>
      <w:rFonts w:asciiTheme="majorHAnsi" w:eastAsiaTheme="majorEastAsia" w:hAnsiTheme="majorHAnsi" w:cstheme="majorBidi"/>
      <w:i/>
      <w:iCs/>
      <w:color w:val="243F60" w:themeColor="accent1" w:themeShade="7F"/>
      <w:sz w:val="24"/>
      <w:szCs w:val="20"/>
      <w:lang w:val="en-GB"/>
    </w:rPr>
  </w:style>
  <w:style w:type="paragraph" w:styleId="Ttulo7">
    <w:name w:val="heading 7"/>
    <w:basedOn w:val="Normal"/>
    <w:next w:val="Normal"/>
    <w:link w:val="Ttulo7Car"/>
    <w:uiPriority w:val="9"/>
    <w:semiHidden/>
    <w:unhideWhenUsed/>
    <w:qFormat/>
    <w:pPr>
      <w:keepNext/>
      <w:keepLines/>
      <w:numPr>
        <w:ilvl w:val="6"/>
        <w:numId w:val="4"/>
      </w:numPr>
      <w:spacing w:before="200" w:after="0" w:line="240" w:lineRule="auto"/>
      <w:jc w:val="both"/>
      <w:outlineLvl w:val="6"/>
    </w:pPr>
    <w:rPr>
      <w:rFonts w:asciiTheme="majorHAnsi" w:eastAsiaTheme="majorEastAsia" w:hAnsiTheme="majorHAnsi" w:cstheme="majorBidi"/>
      <w:i/>
      <w:iCs/>
      <w:color w:val="404040" w:themeColor="text1" w:themeTint="BF"/>
      <w:sz w:val="24"/>
      <w:szCs w:val="20"/>
      <w:lang w:val="en-GB"/>
    </w:rPr>
  </w:style>
  <w:style w:type="paragraph" w:styleId="Ttulo8">
    <w:name w:val="heading 8"/>
    <w:basedOn w:val="Normal"/>
    <w:next w:val="Normal"/>
    <w:link w:val="Ttulo8Car"/>
    <w:uiPriority w:val="9"/>
    <w:semiHidden/>
    <w:unhideWhenUsed/>
    <w:qFormat/>
    <w:pPr>
      <w:keepNext/>
      <w:keepLines/>
      <w:numPr>
        <w:ilvl w:val="7"/>
        <w:numId w:val="4"/>
      </w:numPr>
      <w:spacing w:before="200" w:after="0" w:line="240" w:lineRule="auto"/>
      <w:jc w:val="both"/>
      <w:outlineLvl w:val="7"/>
    </w:pPr>
    <w:rPr>
      <w:rFonts w:asciiTheme="majorHAnsi" w:eastAsiaTheme="majorEastAsia" w:hAnsiTheme="majorHAnsi" w:cstheme="majorBidi"/>
      <w:color w:val="404040" w:themeColor="text1" w:themeTint="BF"/>
      <w:sz w:val="20"/>
      <w:szCs w:val="20"/>
      <w:lang w:val="en-GB"/>
    </w:rPr>
  </w:style>
  <w:style w:type="paragraph" w:styleId="Ttulo9">
    <w:name w:val="heading 9"/>
    <w:basedOn w:val="Normal"/>
    <w:next w:val="Normal"/>
    <w:link w:val="Ttulo9Car"/>
    <w:uiPriority w:val="9"/>
    <w:semiHidden/>
    <w:unhideWhenUsed/>
    <w:qFormat/>
    <w:pPr>
      <w:keepNext/>
      <w:keepLines/>
      <w:numPr>
        <w:ilvl w:val="8"/>
        <w:numId w:val="4"/>
      </w:numPr>
      <w:spacing w:before="200" w:after="0" w:line="240" w:lineRule="auto"/>
      <w:jc w:val="both"/>
      <w:outlineLvl w:val="8"/>
    </w:pPr>
    <w:rPr>
      <w:rFonts w:asciiTheme="majorHAnsi" w:eastAsiaTheme="majorEastAsia" w:hAnsiTheme="majorHAnsi" w:cstheme="majorBidi"/>
      <w:i/>
      <w:iCs/>
      <w:color w:val="404040" w:themeColor="text1" w:themeTint="BF"/>
      <w:sz w:val="20"/>
      <w:szCs w:val="20"/>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Marker">
    <w:name w:val="Marker"/>
    <w:basedOn w:val="Fuentedeprrafopredeter"/>
    <w:rsid w:val="008B1208"/>
    <w:rPr>
      <w:color w:val="0000FF"/>
      <w:bdr w:val="none" w:sz="0" w:space="0" w:color="auto"/>
      <w:shd w:val="clear" w:color="auto" w:fill="auto"/>
    </w:rPr>
  </w:style>
  <w:style w:type="paragraph" w:customStyle="1" w:styleId="Pagedecouverture">
    <w:name w:val="Page de couverture"/>
    <w:basedOn w:val="Normal"/>
    <w:next w:val="Normal"/>
    <w:pPr>
      <w:spacing w:after="0" w:line="240" w:lineRule="auto"/>
      <w:jc w:val="both"/>
    </w:pPr>
    <w:rPr>
      <w:rFonts w:ascii="Times New Roman" w:hAnsi="Times New Roman" w:cs="Times New Roman"/>
      <w:sz w:val="24"/>
    </w:rPr>
  </w:style>
  <w:style w:type="paragraph" w:styleId="Encabezado">
    <w:name w:val="header"/>
    <w:basedOn w:val="Normal"/>
    <w:link w:val="EncabezadoCar"/>
    <w:uiPriority w:val="99"/>
    <w:unhideWhenUsed/>
    <w:pPr>
      <w:tabs>
        <w:tab w:val="center" w:pos="4536"/>
        <w:tab w:val="right" w:pos="9072"/>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536"/>
        <w:tab w:val="right" w:pos="9072"/>
      </w:tabs>
      <w:spacing w:after="0" w:line="240" w:lineRule="auto"/>
    </w:pPr>
  </w:style>
  <w:style w:type="character" w:customStyle="1" w:styleId="PiedepginaCar">
    <w:name w:val="Pie de página Car"/>
    <w:basedOn w:val="Fuentedeprrafopredeter"/>
    <w:link w:val="Piedepgina"/>
    <w:uiPriority w:val="99"/>
  </w:style>
  <w:style w:type="paragraph" w:customStyle="1" w:styleId="FooterCoverPage">
    <w:name w:val="Footer Cover Page"/>
    <w:basedOn w:val="Normal"/>
    <w:link w:val="FooterCoverPageChar"/>
    <w:pPr>
      <w:tabs>
        <w:tab w:val="center" w:pos="4535"/>
        <w:tab w:val="right" w:pos="9071"/>
        <w:tab w:val="right" w:pos="9921"/>
      </w:tabs>
      <w:spacing w:before="360" w:after="0" w:line="240" w:lineRule="auto"/>
      <w:ind w:left="-850" w:right="-850"/>
    </w:pPr>
    <w:rPr>
      <w:rFonts w:ascii="Times New Roman" w:hAnsi="Times New Roman" w:cs="Times New Roman"/>
      <w:sz w:val="24"/>
    </w:rPr>
  </w:style>
  <w:style w:type="character" w:customStyle="1" w:styleId="FooterCoverPageChar">
    <w:name w:val="Footer Cover Page Char"/>
    <w:basedOn w:val="Fuentedeprrafopredeter"/>
    <w:link w:val="FooterCoverPage"/>
    <w:rPr>
      <w:rFonts w:ascii="Times New Roman" w:hAnsi="Times New Roman" w:cs="Times New Roman"/>
      <w:sz w:val="24"/>
    </w:rPr>
  </w:style>
  <w:style w:type="paragraph" w:customStyle="1" w:styleId="FooterSensitivity">
    <w:name w:val="Footer Sensitivity"/>
    <w:basedOn w:val="Normal"/>
    <w:link w:val="FooterSensitivityChar"/>
    <w:pPr>
      <w:pBdr>
        <w:top w:val="single" w:sz="4" w:space="1" w:color="auto"/>
        <w:left w:val="single" w:sz="4" w:space="4" w:color="auto"/>
        <w:bottom w:val="single" w:sz="4" w:space="1" w:color="auto"/>
        <w:right w:val="single" w:sz="4" w:space="4" w:color="auto"/>
      </w:pBdr>
      <w:spacing w:before="360" w:after="0" w:line="240" w:lineRule="auto"/>
      <w:ind w:left="113" w:right="113"/>
      <w:jc w:val="center"/>
    </w:pPr>
    <w:rPr>
      <w:rFonts w:ascii="Times New Roman" w:hAnsi="Times New Roman" w:cs="Times New Roman"/>
      <w:b/>
      <w:sz w:val="32"/>
    </w:rPr>
  </w:style>
  <w:style w:type="character" w:customStyle="1" w:styleId="FooterSensitivityChar">
    <w:name w:val="Footer Sensitivity Char"/>
    <w:basedOn w:val="Fuentedeprrafopredeter"/>
    <w:link w:val="FooterSensitivity"/>
    <w:rPr>
      <w:rFonts w:ascii="Times New Roman" w:hAnsi="Times New Roman" w:cs="Times New Roman"/>
      <w:b/>
      <w:sz w:val="32"/>
    </w:rPr>
  </w:style>
  <w:style w:type="paragraph" w:customStyle="1" w:styleId="HeaderCoverPage">
    <w:name w:val="Header Cover Page"/>
    <w:basedOn w:val="Normal"/>
    <w:link w:val="HeaderCoverPageChar"/>
    <w:pPr>
      <w:tabs>
        <w:tab w:val="center" w:pos="4535"/>
        <w:tab w:val="right" w:pos="9071"/>
      </w:tabs>
      <w:spacing w:after="120" w:line="240" w:lineRule="auto"/>
      <w:jc w:val="both"/>
    </w:pPr>
    <w:rPr>
      <w:rFonts w:ascii="Times New Roman" w:hAnsi="Times New Roman" w:cs="Times New Roman"/>
      <w:sz w:val="24"/>
    </w:rPr>
  </w:style>
  <w:style w:type="character" w:customStyle="1" w:styleId="HeaderCoverPageChar">
    <w:name w:val="Header Cover Page Char"/>
    <w:basedOn w:val="Fuentedeprrafopredeter"/>
    <w:link w:val="HeaderCoverPage"/>
    <w:rPr>
      <w:rFonts w:ascii="Times New Roman" w:hAnsi="Times New Roman" w:cs="Times New Roman"/>
      <w:sz w:val="24"/>
    </w:rPr>
  </w:style>
  <w:style w:type="paragraph" w:customStyle="1" w:styleId="HeaderSensitivity">
    <w:name w:val="Header Sensitivity"/>
    <w:basedOn w:val="Normal"/>
    <w:link w:val="HeaderSensitivityChar"/>
    <w:pPr>
      <w:pBdr>
        <w:top w:val="single" w:sz="4" w:space="1" w:color="auto"/>
        <w:left w:val="single" w:sz="4" w:space="4" w:color="auto"/>
        <w:bottom w:val="single" w:sz="4" w:space="1" w:color="auto"/>
        <w:right w:val="single" w:sz="4" w:space="4" w:color="auto"/>
      </w:pBdr>
      <w:spacing w:after="120" w:line="240" w:lineRule="auto"/>
      <w:ind w:left="113" w:right="113"/>
      <w:jc w:val="center"/>
    </w:pPr>
    <w:rPr>
      <w:rFonts w:ascii="Times New Roman" w:hAnsi="Times New Roman" w:cs="Times New Roman"/>
      <w:b/>
      <w:sz w:val="32"/>
    </w:rPr>
  </w:style>
  <w:style w:type="character" w:customStyle="1" w:styleId="HeaderSensitivityChar">
    <w:name w:val="Header Sensitivity Char"/>
    <w:basedOn w:val="Fuentedeprrafopredeter"/>
    <w:link w:val="HeaderSensitivity"/>
    <w:rPr>
      <w:rFonts w:ascii="Times New Roman" w:hAnsi="Times New Roman" w:cs="Times New Roman"/>
      <w:b/>
      <w:sz w:val="32"/>
    </w:rPr>
  </w:style>
  <w:style w:type="character" w:customStyle="1" w:styleId="Ttulo1Car">
    <w:name w:val="Título 1 Car"/>
    <w:basedOn w:val="Fuentedeprrafopredeter"/>
    <w:link w:val="Ttulo1"/>
    <w:rPr>
      <w:rFonts w:ascii="Times New Roman" w:eastAsia="Times New Roman" w:hAnsi="Times New Roman" w:cs="Times New Roman"/>
      <w:b/>
      <w:smallCaps/>
      <w:sz w:val="24"/>
      <w:szCs w:val="20"/>
      <w:lang w:val="en-GB"/>
    </w:rPr>
  </w:style>
  <w:style w:type="character" w:customStyle="1" w:styleId="Ttulo2Car">
    <w:name w:val="Título 2 Car"/>
    <w:basedOn w:val="Fuentedeprrafopredeter"/>
    <w:link w:val="Ttulo2"/>
    <w:rPr>
      <w:rFonts w:ascii="Times New Roman" w:eastAsia="Times New Roman" w:hAnsi="Times New Roman" w:cs="Times New Roman"/>
      <w:b/>
      <w:sz w:val="24"/>
      <w:szCs w:val="20"/>
      <w:lang w:val="en-GB"/>
    </w:rPr>
  </w:style>
  <w:style w:type="character" w:customStyle="1" w:styleId="Ttulo3Car">
    <w:name w:val="Título 3 Car"/>
    <w:basedOn w:val="Fuentedeprrafopredeter"/>
    <w:link w:val="Ttulo3"/>
    <w:rPr>
      <w:rFonts w:ascii="Times New Roman" w:eastAsia="Times New Roman" w:hAnsi="Times New Roman" w:cs="Times New Roman"/>
      <w:b/>
      <w:i/>
      <w:sz w:val="24"/>
      <w:szCs w:val="20"/>
      <w:lang w:val="en-GB"/>
    </w:rPr>
  </w:style>
  <w:style w:type="character" w:customStyle="1" w:styleId="Ttulo4Car">
    <w:name w:val="Título 4 Car"/>
    <w:basedOn w:val="Fuentedeprrafopredeter"/>
    <w:link w:val="Ttulo4"/>
    <w:rPr>
      <w:rFonts w:ascii="Times New Roman" w:eastAsia="Times New Roman" w:hAnsi="Times New Roman" w:cs="Times New Roman"/>
      <w:sz w:val="24"/>
      <w:szCs w:val="20"/>
      <w:lang w:val="en-GB"/>
    </w:rPr>
  </w:style>
  <w:style w:type="character" w:customStyle="1" w:styleId="Ttulo5Car">
    <w:name w:val="Título 5 Car"/>
    <w:basedOn w:val="Fuentedeprrafopredeter"/>
    <w:link w:val="Ttulo5"/>
    <w:uiPriority w:val="9"/>
    <w:semiHidden/>
    <w:rPr>
      <w:rFonts w:asciiTheme="majorHAnsi" w:eastAsiaTheme="majorEastAsia" w:hAnsiTheme="majorHAnsi" w:cstheme="majorBidi"/>
      <w:color w:val="243F60" w:themeColor="accent1" w:themeShade="7F"/>
      <w:sz w:val="24"/>
      <w:szCs w:val="20"/>
      <w:lang w:val="en-GB"/>
    </w:rPr>
  </w:style>
  <w:style w:type="character" w:customStyle="1" w:styleId="Ttulo6Car">
    <w:name w:val="Título 6 Car"/>
    <w:basedOn w:val="Fuentedeprrafopredeter"/>
    <w:link w:val="Ttulo6"/>
    <w:uiPriority w:val="9"/>
    <w:semiHidden/>
    <w:rPr>
      <w:rFonts w:asciiTheme="majorHAnsi" w:eastAsiaTheme="majorEastAsia" w:hAnsiTheme="majorHAnsi" w:cstheme="majorBidi"/>
      <w:i/>
      <w:iCs/>
      <w:color w:val="243F60" w:themeColor="accent1" w:themeShade="7F"/>
      <w:sz w:val="24"/>
      <w:szCs w:val="20"/>
      <w:lang w:val="en-GB"/>
    </w:rPr>
  </w:style>
  <w:style w:type="character" w:customStyle="1" w:styleId="Ttulo7Car">
    <w:name w:val="Título 7 Car"/>
    <w:basedOn w:val="Fuentedeprrafopredeter"/>
    <w:link w:val="Ttulo7"/>
    <w:uiPriority w:val="9"/>
    <w:semiHidden/>
    <w:rPr>
      <w:rFonts w:asciiTheme="majorHAnsi" w:eastAsiaTheme="majorEastAsia" w:hAnsiTheme="majorHAnsi" w:cstheme="majorBidi"/>
      <w:i/>
      <w:iCs/>
      <w:color w:val="404040" w:themeColor="text1" w:themeTint="BF"/>
      <w:sz w:val="24"/>
      <w:szCs w:val="20"/>
      <w:lang w:val="en-GB"/>
    </w:rPr>
  </w:style>
  <w:style w:type="character" w:customStyle="1" w:styleId="Ttulo8Car">
    <w:name w:val="Título 8 Car"/>
    <w:basedOn w:val="Fuentedeprrafopredeter"/>
    <w:link w:val="Ttulo8"/>
    <w:uiPriority w:val="9"/>
    <w:semiHidden/>
    <w:rPr>
      <w:rFonts w:asciiTheme="majorHAnsi" w:eastAsiaTheme="majorEastAsia" w:hAnsiTheme="majorHAnsi" w:cstheme="majorBidi"/>
      <w:color w:val="404040" w:themeColor="text1" w:themeTint="BF"/>
      <w:sz w:val="20"/>
      <w:szCs w:val="20"/>
      <w:lang w:val="en-GB"/>
    </w:rPr>
  </w:style>
  <w:style w:type="character" w:customStyle="1" w:styleId="Ttulo9Car">
    <w:name w:val="Título 9 Car"/>
    <w:basedOn w:val="Fuentedeprrafopredeter"/>
    <w:link w:val="Ttulo9"/>
    <w:uiPriority w:val="9"/>
    <w:semiHidden/>
    <w:rPr>
      <w:rFonts w:asciiTheme="majorHAnsi" w:eastAsiaTheme="majorEastAsia" w:hAnsiTheme="majorHAnsi" w:cstheme="majorBidi"/>
      <w:i/>
      <w:iCs/>
      <w:color w:val="404040" w:themeColor="text1" w:themeTint="BF"/>
      <w:sz w:val="20"/>
      <w:szCs w:val="20"/>
      <w:lang w:val="en-GB"/>
    </w:rPr>
  </w:style>
  <w:style w:type="paragraph" w:customStyle="1" w:styleId="Text1">
    <w:name w:val="Text 1"/>
    <w:basedOn w:val="Normal"/>
    <w:pPr>
      <w:spacing w:after="240" w:line="240" w:lineRule="auto"/>
      <w:ind w:left="482"/>
      <w:jc w:val="both"/>
    </w:pPr>
    <w:rPr>
      <w:rFonts w:ascii="Times New Roman" w:eastAsia="Times New Roman" w:hAnsi="Times New Roman" w:cs="Times New Roman"/>
      <w:sz w:val="24"/>
      <w:szCs w:val="20"/>
      <w:lang w:val="en-GB"/>
    </w:rPr>
  </w:style>
  <w:style w:type="paragraph" w:customStyle="1" w:styleId="Text2">
    <w:name w:val="Text 2"/>
    <w:basedOn w:val="Normal"/>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styleId="Listaconvietas">
    <w:name w:val="List Bullet"/>
    <w:basedOn w:val="Normal"/>
    <w:pPr>
      <w:numPr>
        <w:numId w:val="5"/>
      </w:numPr>
      <w:tabs>
        <w:tab w:val="clear" w:pos="360"/>
        <w:tab w:val="num" w:pos="283"/>
      </w:tabs>
      <w:spacing w:after="240" w:line="240" w:lineRule="auto"/>
      <w:ind w:left="283" w:hanging="283"/>
      <w:jc w:val="both"/>
    </w:pPr>
    <w:rPr>
      <w:rFonts w:ascii="Times New Roman" w:eastAsia="Times New Roman" w:hAnsi="Times New Roman" w:cs="Times New Roman"/>
      <w:sz w:val="24"/>
      <w:szCs w:val="20"/>
      <w:lang w:val="en-GB"/>
    </w:rPr>
  </w:style>
  <w:style w:type="paragraph" w:customStyle="1" w:styleId="ListDash1">
    <w:name w:val="List Dash 1"/>
    <w:basedOn w:val="Text1"/>
    <w:pPr>
      <w:numPr>
        <w:numId w:val="1"/>
      </w:numPr>
    </w:pPr>
  </w:style>
  <w:style w:type="table" w:styleId="Tablaconcuadrcula">
    <w:name w:val="Table Grid"/>
    <w:aliases w:val="Document Table,CV1,Standard table format"/>
    <w:basedOn w:val="Tablanormal"/>
    <w:uiPriority w:val="5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Title">
    <w:name w:val="Annex Title"/>
    <w:basedOn w:val="Normal"/>
    <w:next w:val="Normal"/>
    <w:link w:val="AnnexTitleChar"/>
    <w:qFormat/>
    <w:pPr>
      <w:keepNext/>
      <w:spacing w:after="480" w:line="240" w:lineRule="auto"/>
      <w:jc w:val="center"/>
    </w:pPr>
    <w:rPr>
      <w:rFonts w:ascii="Times New Roman" w:eastAsia="Times New Roman" w:hAnsi="Times New Roman" w:cs="Times New Roman"/>
      <w:b/>
      <w:sz w:val="32"/>
      <w:szCs w:val="20"/>
      <w:lang w:val="en-GB"/>
    </w:rPr>
  </w:style>
  <w:style w:type="character" w:customStyle="1" w:styleId="AnnexTitleChar">
    <w:name w:val="Annex Title Char"/>
    <w:basedOn w:val="Fuentedeprrafopredeter"/>
    <w:link w:val="AnnexTitle"/>
    <w:rPr>
      <w:rFonts w:ascii="Times New Roman" w:eastAsia="Times New Roman" w:hAnsi="Times New Roman" w:cs="Times New Roman"/>
      <w:b/>
      <w:sz w:val="32"/>
      <w:szCs w:val="20"/>
      <w:lang w:val="en-GB"/>
    </w:rPr>
  </w:style>
  <w:style w:type="table" w:customStyle="1" w:styleId="CV11">
    <w:name w:val="CV11"/>
    <w:basedOn w:val="Tablanormal"/>
    <w:next w:val="Tablaconcuadrcula"/>
    <w:uiPriority w:val="3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V12">
    <w:name w:val="CV12"/>
    <w:basedOn w:val="Tablanormal"/>
    <w:next w:val="Tablaconcuadrcula"/>
    <w:uiPriority w:val="3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V13">
    <w:name w:val="CV13"/>
    <w:basedOn w:val="Tablanormal"/>
    <w:next w:val="Tablaconcuadrcula"/>
    <w:uiPriority w:val="3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next w:val="Normal"/>
    <w:uiPriority w:val="39"/>
    <w:pPr>
      <w:tabs>
        <w:tab w:val="right" w:leader="dot" w:pos="8640"/>
      </w:tabs>
      <w:spacing w:before="120" w:after="120" w:line="240" w:lineRule="auto"/>
      <w:ind w:left="482" w:right="720" w:hanging="482"/>
      <w:jc w:val="both"/>
    </w:pPr>
    <w:rPr>
      <w:rFonts w:ascii="Times New Roman" w:eastAsia="Times New Roman" w:hAnsi="Times New Roman" w:cs="Times New Roman"/>
      <w:caps/>
      <w:sz w:val="20"/>
      <w:szCs w:val="20"/>
      <w:lang w:val="en-GB"/>
    </w:rPr>
  </w:style>
  <w:style w:type="paragraph" w:styleId="TDC2">
    <w:name w:val="toc 2"/>
    <w:basedOn w:val="Normal"/>
    <w:next w:val="Normal"/>
    <w:uiPriority w:val="39"/>
    <w:pPr>
      <w:tabs>
        <w:tab w:val="right" w:leader="dot" w:pos="8640"/>
      </w:tabs>
      <w:spacing w:before="60" w:after="60" w:line="240" w:lineRule="auto"/>
      <w:ind w:left="1077" w:right="720" w:hanging="595"/>
      <w:jc w:val="both"/>
    </w:pPr>
    <w:rPr>
      <w:rFonts w:ascii="Times New Roman" w:eastAsia="Times New Roman" w:hAnsi="Times New Roman" w:cs="Times New Roman"/>
      <w:sz w:val="24"/>
      <w:szCs w:val="20"/>
      <w:lang w:val="en-GB"/>
    </w:rPr>
  </w:style>
  <w:style w:type="paragraph" w:styleId="TtuloTDC">
    <w:name w:val="TOC Heading"/>
    <w:basedOn w:val="Normal"/>
    <w:next w:val="Normal"/>
    <w:qFormat/>
    <w:pPr>
      <w:keepNext/>
      <w:spacing w:before="240" w:after="240" w:line="240" w:lineRule="auto"/>
      <w:jc w:val="center"/>
    </w:pPr>
    <w:rPr>
      <w:rFonts w:ascii="Times New Roman" w:eastAsia="Times New Roman" w:hAnsi="Times New Roman" w:cs="Times New Roman"/>
      <w:b/>
      <w:sz w:val="24"/>
      <w:szCs w:val="20"/>
      <w:lang w:val="en-GB"/>
    </w:rPr>
  </w:style>
  <w:style w:type="character" w:styleId="Hipervnculo">
    <w:name w:val="Hyperlink"/>
    <w:basedOn w:val="Fuentedeprrafopredeter"/>
    <w:uiPriority w:val="99"/>
    <w:unhideWhenUsed/>
    <w:rPr>
      <w:color w:val="0000FF" w:themeColor="hyperlink"/>
      <w:u w:val="single"/>
    </w:rPr>
  </w:style>
  <w:style w:type="paragraph" w:styleId="Textodeglobo">
    <w:name w:val="Balloon Text"/>
    <w:basedOn w:val="Normal"/>
    <w:link w:val="TextodegloboCar"/>
    <w:uiPriority w:val="99"/>
    <w:semiHidden/>
    <w:unhideWhenUsed/>
    <w:pPr>
      <w:spacing w:after="0" w:line="240" w:lineRule="auto"/>
      <w:jc w:val="both"/>
    </w:pPr>
    <w:rPr>
      <w:rFonts w:ascii="Tahoma" w:eastAsia="Times New Roman" w:hAnsi="Tahoma" w:cs="Tahoma"/>
      <w:sz w:val="16"/>
      <w:szCs w:val="16"/>
      <w:lang w:val="en-GB"/>
    </w:rPr>
  </w:style>
  <w:style w:type="character" w:customStyle="1" w:styleId="TextodegloboCar">
    <w:name w:val="Texto de globo Car"/>
    <w:basedOn w:val="Fuentedeprrafopredeter"/>
    <w:link w:val="Textodeglobo"/>
    <w:uiPriority w:val="99"/>
    <w:semiHidden/>
    <w:rPr>
      <w:rFonts w:ascii="Tahoma" w:eastAsia="Times New Roman" w:hAnsi="Tahoma" w:cs="Tahoma"/>
      <w:sz w:val="16"/>
      <w:szCs w:val="16"/>
      <w:lang w:val="en-GB"/>
    </w:rPr>
  </w:style>
  <w:style w:type="paragraph" w:styleId="Prrafodelista">
    <w:name w:val="List Paragraph"/>
    <w:aliases w:val="Fiche List Paragraph,Task Body,Viñetas (Inicio Parrafo),3 Txt tabla,Zerrenda-paragrafoa,Lista multicolor - Énfasis 11,Paragrafo elenco,Dot pt,No Spacing1,List Paragraph Char Char Char,Indicator Text,Bullet 1,Numbered Para 1"/>
    <w:basedOn w:val="Normal"/>
    <w:link w:val="PrrafodelistaCar"/>
    <w:uiPriority w:val="34"/>
    <w:qFormat/>
    <w:pPr>
      <w:spacing w:after="120" w:line="240" w:lineRule="auto"/>
      <w:ind w:left="720"/>
      <w:contextualSpacing/>
      <w:jc w:val="both"/>
    </w:pPr>
    <w:rPr>
      <w:rFonts w:ascii="Times New Roman" w:eastAsia="Times New Roman" w:hAnsi="Times New Roman" w:cs="Times New Roman"/>
      <w:sz w:val="24"/>
      <w:szCs w:val="20"/>
      <w:lang w:val="en-GB"/>
    </w:rPr>
  </w:style>
  <w:style w:type="paragraph" w:styleId="Textonotapie">
    <w:name w:val="footnote text"/>
    <w:aliases w:val="Char,Fußnote,Carattere,fn,Footnotes,Footnote ak,Footnote Text Char Char,fn Char Char,footnote text Char Char,Footnotes Char Char,Footnote ak Char Char,fn Char1,footnote text Char1,Footnotes Char1,ft,Footnote Text_EP-LC,Schriftart: 9 pt,o"/>
    <w:basedOn w:val="Normal"/>
    <w:link w:val="TextonotapieCar"/>
    <w:uiPriority w:val="99"/>
    <w:unhideWhenUsed/>
    <w:qFormat/>
    <w:pPr>
      <w:spacing w:after="0" w:line="240" w:lineRule="auto"/>
      <w:ind w:left="720" w:hanging="720"/>
      <w:jc w:val="both"/>
    </w:pPr>
    <w:rPr>
      <w:rFonts w:ascii="Times New Roman" w:eastAsia="Times New Roman" w:hAnsi="Times New Roman" w:cs="Times New Roman"/>
      <w:sz w:val="18"/>
      <w:szCs w:val="20"/>
      <w:lang w:val="en-GB"/>
    </w:rPr>
  </w:style>
  <w:style w:type="character" w:customStyle="1" w:styleId="TextonotapieCar">
    <w:name w:val="Texto nota pie Car"/>
    <w:aliases w:val="Char Car,Fußnote Car,Carattere Car,fn Car,Footnotes Car,Footnote ak Car,Footnote Text Char Char Car,fn Char Char Car,footnote text Char Char Car,Footnotes Char Char Car,Footnote ak Char Char Car,fn Char1 Car,footnote text Char1 Car"/>
    <w:basedOn w:val="Fuentedeprrafopredeter"/>
    <w:link w:val="Textonotapie"/>
    <w:uiPriority w:val="99"/>
    <w:rPr>
      <w:rFonts w:ascii="Times New Roman" w:eastAsia="Times New Roman" w:hAnsi="Times New Roman" w:cs="Times New Roman"/>
      <w:sz w:val="18"/>
      <w:szCs w:val="20"/>
      <w:lang w:val="en-GB"/>
    </w:rPr>
  </w:style>
  <w:style w:type="character" w:styleId="Refdenotaalpie">
    <w:name w:val="footnote reference"/>
    <w:aliases w:val="Footnote Reference Superscript,BVI fnr,Footnote symbol,Footnote reference number,note TESI,Appel note de bas de p,Nota,SUPERS,Footnote number,EN Footnote Reference,-E Fußnotenzeichen,number Char Char,number,Ref,styl,styli,fr, BVI fnr"/>
    <w:basedOn w:val="Fuentedeprrafopredeter"/>
    <w:link w:val="CharCharChar1"/>
    <w:uiPriority w:val="99"/>
    <w:unhideWhenUsed/>
    <w:qFormat/>
    <w:rPr>
      <w:vertAlign w:val="superscript"/>
    </w:rPr>
  </w:style>
  <w:style w:type="paragraph" w:customStyle="1" w:styleId="Declassification">
    <w:name w:val="Declassification"/>
    <w:basedOn w:val="Normal"/>
    <w:next w:val="Normal"/>
    <w:pPr>
      <w:spacing w:after="0" w:line="240" w:lineRule="auto"/>
      <w:jc w:val="both"/>
    </w:pPr>
    <w:rPr>
      <w:rFonts w:ascii="Times New Roman" w:eastAsia="Times New Roman" w:hAnsi="Times New Roman" w:cs="Times New Roman"/>
      <w:sz w:val="24"/>
      <w:szCs w:val="20"/>
      <w:lang w:val="en-GB"/>
    </w:rPr>
  </w:style>
  <w:style w:type="paragraph" w:customStyle="1" w:styleId="HeaderLandscape">
    <w:name w:val="HeaderLandscape"/>
    <w:basedOn w:val="Normal"/>
    <w:pPr>
      <w:tabs>
        <w:tab w:val="center" w:pos="7285"/>
        <w:tab w:val="right" w:pos="14003"/>
      </w:tabs>
      <w:spacing w:after="120" w:line="240" w:lineRule="auto"/>
      <w:jc w:val="both"/>
    </w:pPr>
    <w:rPr>
      <w:rFonts w:ascii="Times New Roman" w:eastAsia="Times New Roman" w:hAnsi="Times New Roman" w:cs="Times New Roman"/>
      <w:sz w:val="24"/>
      <w:szCs w:val="20"/>
      <w:lang w:val="en-GB"/>
    </w:rPr>
  </w:style>
  <w:style w:type="paragraph" w:customStyle="1" w:styleId="FooterLandscape">
    <w:name w:val="FooterLandscape"/>
    <w:basedOn w:val="Normal"/>
    <w:pPr>
      <w:tabs>
        <w:tab w:val="center" w:pos="7285"/>
        <w:tab w:val="center" w:pos="10913"/>
        <w:tab w:val="right" w:pos="15137"/>
      </w:tabs>
      <w:spacing w:before="360" w:after="0" w:line="240" w:lineRule="auto"/>
      <w:ind w:left="-567" w:right="-567"/>
      <w:jc w:val="both"/>
    </w:pPr>
    <w:rPr>
      <w:rFonts w:ascii="Times New Roman" w:eastAsia="Times New Roman" w:hAnsi="Times New Roman" w:cs="Times New Roman"/>
      <w:sz w:val="24"/>
      <w:szCs w:val="20"/>
      <w:lang w:val="en-GB"/>
    </w:rPr>
  </w:style>
  <w:style w:type="paragraph" w:customStyle="1" w:styleId="CharCharChar1">
    <w:name w:val="Char Char Char1"/>
    <w:basedOn w:val="Normal"/>
    <w:link w:val="Refdenotaalpie"/>
    <w:uiPriority w:val="99"/>
    <w:pPr>
      <w:spacing w:after="160" w:line="240" w:lineRule="exact"/>
      <w:jc w:val="both"/>
    </w:pPr>
    <w:rPr>
      <w:vertAlign w:val="superscript"/>
    </w:rPr>
  </w:style>
  <w:style w:type="paragraph" w:styleId="Textonotaalfinal">
    <w:name w:val="endnote text"/>
    <w:basedOn w:val="Normal"/>
    <w:link w:val="TextonotaalfinalCar"/>
    <w:uiPriority w:val="99"/>
    <w:semiHidden/>
    <w:unhideWhenUsed/>
    <w:pPr>
      <w:spacing w:after="0" w:line="240" w:lineRule="auto"/>
      <w:jc w:val="both"/>
    </w:pPr>
    <w:rPr>
      <w:rFonts w:ascii="Calibri" w:eastAsia="Calibri" w:hAnsi="Calibri" w:cs="Times New Roman"/>
      <w:sz w:val="20"/>
      <w:szCs w:val="20"/>
      <w:lang w:val="en-GB"/>
    </w:rPr>
  </w:style>
  <w:style w:type="character" w:customStyle="1" w:styleId="TextonotaalfinalCar">
    <w:name w:val="Texto nota al final Car"/>
    <w:basedOn w:val="Fuentedeprrafopredeter"/>
    <w:link w:val="Textonotaalfinal"/>
    <w:uiPriority w:val="99"/>
    <w:semiHidden/>
    <w:rPr>
      <w:rFonts w:ascii="Calibri" w:eastAsia="Calibri" w:hAnsi="Calibri" w:cs="Times New Roman"/>
      <w:sz w:val="20"/>
      <w:szCs w:val="20"/>
      <w:lang w:val="en-GB"/>
    </w:rPr>
  </w:style>
  <w:style w:type="character" w:styleId="Refdenotaalfinal">
    <w:name w:val="endnote reference"/>
    <w:basedOn w:val="Fuentedeprrafopredeter"/>
    <w:uiPriority w:val="99"/>
    <w:semiHidden/>
    <w:unhideWhenUsed/>
    <w:rPr>
      <w:vertAlign w:val="superscript"/>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 w:type="paragraph" w:styleId="Descripcin">
    <w:name w:val="caption"/>
    <w:aliases w:val="Caption1 Char Char Char Char Char Char Char Char Tegn Tegn Tegn Tegn Tegn,Caption1 Char Char Char Char Char Char Char Char Tegn Tegn Tegn,Caption1 Char Char Char Char Char Char Char Char Tegn Tegn, Char Char Char,Tabelko"/>
    <w:basedOn w:val="Normal"/>
    <w:next w:val="Normal"/>
    <w:link w:val="DescripcinCar"/>
    <w:autoRedefine/>
    <w:uiPriority w:val="99"/>
    <w:qFormat/>
    <w:pPr>
      <w:keepNext/>
      <w:spacing w:after="0" w:line="240" w:lineRule="auto"/>
      <w:jc w:val="both"/>
    </w:pPr>
    <w:rPr>
      <w:rFonts w:ascii="Times New Roman" w:eastAsia="Times New Roman" w:hAnsi="Times New Roman" w:cs="Times New Roman"/>
      <w:b/>
      <w:i/>
      <w:color w:val="244061" w:themeColor="accent1" w:themeShade="80"/>
      <w:sz w:val="20"/>
      <w:szCs w:val="24"/>
      <w:lang w:val="en-GB" w:eastAsia="en-GB"/>
    </w:rPr>
  </w:style>
  <w:style w:type="character" w:customStyle="1" w:styleId="DescripcinCar">
    <w:name w:val="Descripción Car"/>
    <w:aliases w:val="Caption1 Char Char Char Char Char Char Char Char Tegn Tegn Tegn Tegn Tegn Car,Caption1 Char Char Char Char Char Char Char Char Tegn Tegn Tegn Car,Caption1 Char Char Char Char Char Char Char Char Tegn Tegn Car, Char Char Char Car"/>
    <w:link w:val="Descripcin"/>
    <w:uiPriority w:val="99"/>
    <w:rPr>
      <w:rFonts w:ascii="Times New Roman" w:eastAsia="Times New Roman" w:hAnsi="Times New Roman" w:cs="Times New Roman"/>
      <w:b/>
      <w:i/>
      <w:color w:val="244061" w:themeColor="accent1" w:themeShade="80"/>
      <w:sz w:val="20"/>
      <w:szCs w:val="24"/>
      <w:lang w:val="en-GB" w:eastAsia="en-GB"/>
    </w:rPr>
  </w:style>
  <w:style w:type="paragraph" w:customStyle="1" w:styleId="AppendixH1">
    <w:name w:val="Appendix H1"/>
    <w:basedOn w:val="Normal"/>
    <w:link w:val="AppendixH1Char"/>
    <w:qFormat/>
    <w:pPr>
      <w:numPr>
        <w:numId w:val="2"/>
      </w:numPr>
      <w:spacing w:after="120" w:line="240" w:lineRule="auto"/>
      <w:jc w:val="both"/>
    </w:pPr>
    <w:rPr>
      <w:rFonts w:ascii="Times New Roman" w:eastAsia="Times New Roman" w:hAnsi="Times New Roman" w:cs="Times New Roman"/>
      <w:b/>
      <w:sz w:val="24"/>
      <w:szCs w:val="24"/>
      <w:lang w:val="en-GB"/>
    </w:rPr>
  </w:style>
  <w:style w:type="paragraph" w:customStyle="1" w:styleId="AppendixH2">
    <w:name w:val="Appendix H2"/>
    <w:basedOn w:val="Normal"/>
    <w:link w:val="AppendixH2Char"/>
    <w:qFormat/>
    <w:pPr>
      <w:numPr>
        <w:ilvl w:val="1"/>
        <w:numId w:val="2"/>
      </w:numPr>
      <w:spacing w:after="120" w:line="240" w:lineRule="auto"/>
      <w:ind w:hanging="454"/>
      <w:jc w:val="both"/>
    </w:pPr>
    <w:rPr>
      <w:rFonts w:ascii="Times New Roman" w:eastAsia="Times New Roman" w:hAnsi="Times New Roman" w:cs="Times New Roman"/>
      <w:b/>
      <w:sz w:val="24"/>
      <w:szCs w:val="24"/>
      <w:lang w:val="en-GB"/>
    </w:rPr>
  </w:style>
  <w:style w:type="character" w:customStyle="1" w:styleId="AppendixH1Char">
    <w:name w:val="Appendix H1 Char"/>
    <w:basedOn w:val="Fuentedeprrafopredeter"/>
    <w:link w:val="AppendixH1"/>
    <w:rPr>
      <w:rFonts w:ascii="Times New Roman" w:eastAsia="Times New Roman" w:hAnsi="Times New Roman" w:cs="Times New Roman"/>
      <w:b/>
      <w:sz w:val="24"/>
      <w:szCs w:val="24"/>
      <w:lang w:val="en-GB"/>
    </w:rPr>
  </w:style>
  <w:style w:type="paragraph" w:customStyle="1" w:styleId="AppendixH3">
    <w:name w:val="Appendix H3"/>
    <w:basedOn w:val="Normal"/>
    <w:qFormat/>
    <w:pPr>
      <w:numPr>
        <w:ilvl w:val="2"/>
        <w:numId w:val="2"/>
      </w:numPr>
      <w:spacing w:after="120" w:line="240" w:lineRule="auto"/>
      <w:jc w:val="both"/>
    </w:pPr>
    <w:rPr>
      <w:rFonts w:ascii="Times New Roman" w:eastAsia="Times New Roman" w:hAnsi="Times New Roman" w:cs="Times New Roman"/>
      <w:i/>
      <w:sz w:val="24"/>
      <w:szCs w:val="24"/>
      <w:lang w:val="en-GB"/>
    </w:rPr>
  </w:style>
  <w:style w:type="character" w:customStyle="1" w:styleId="AppendixH2Char">
    <w:name w:val="Appendix H2 Char"/>
    <w:basedOn w:val="Fuentedeprrafopredeter"/>
    <w:link w:val="AppendixH2"/>
    <w:rPr>
      <w:rFonts w:ascii="Times New Roman" w:eastAsia="Times New Roman" w:hAnsi="Times New Roman" w:cs="Times New Roman"/>
      <w:b/>
      <w:sz w:val="24"/>
      <w:szCs w:val="24"/>
      <w:lang w:val="en-GB"/>
    </w:rPr>
  </w:style>
  <w:style w:type="numbering" w:customStyle="1" w:styleId="appendix">
    <w:name w:val="appendix"/>
    <w:uiPriority w:val="99"/>
    <w:pPr>
      <w:numPr>
        <w:numId w:val="6"/>
      </w:numPr>
    </w:pPr>
  </w:style>
  <w:style w:type="character" w:customStyle="1" w:styleId="PrrafodelistaCar">
    <w:name w:val="Párrafo de lista Car"/>
    <w:aliases w:val="Fiche List Paragraph Car,Task Body Car,Viñetas (Inicio Parrafo) Car,3 Txt tabla Car,Zerrenda-paragrafoa Car,Lista multicolor - Énfasis 11 Car,Paragrafo elenco Car,Dot pt Car,No Spacing1 Car,List Paragraph Char Char Char Car"/>
    <w:basedOn w:val="Fuentedeprrafopredeter"/>
    <w:link w:val="Prrafodelista"/>
    <w:uiPriority w:val="34"/>
    <w:qFormat/>
    <w:rPr>
      <w:rFonts w:ascii="Times New Roman" w:eastAsia="Times New Roman" w:hAnsi="Times New Roman" w:cs="Times New Roman"/>
      <w:sz w:val="24"/>
      <w:szCs w:val="20"/>
      <w:lang w:val="en-GB"/>
    </w:rPr>
  </w:style>
  <w:style w:type="character" w:styleId="Textodelmarcadordeposicin">
    <w:name w:val="Placeholder Text"/>
    <w:basedOn w:val="Fuentedeprrafopredeter"/>
    <w:uiPriority w:val="99"/>
    <w:semiHidden/>
    <w:rPr>
      <w:color w:val="808080"/>
    </w:rPr>
  </w:style>
  <w:style w:type="table" w:styleId="Listaclara-nfasis1">
    <w:name w:val="Light List Accent 1"/>
    <w:basedOn w:val="Tablanormal"/>
    <w:uiPriority w:val="61"/>
    <w:pPr>
      <w:spacing w:after="0" w:line="240" w:lineRule="auto"/>
    </w:pPr>
    <w:rPr>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rearticle">
    <w:name w:val="Titre article"/>
    <w:basedOn w:val="Normal"/>
    <w:next w:val="Normal"/>
    <w:pPr>
      <w:keepNext/>
      <w:spacing w:before="360" w:after="120" w:line="240" w:lineRule="auto"/>
      <w:jc w:val="center"/>
    </w:pPr>
    <w:rPr>
      <w:rFonts w:ascii="Times New Roman" w:eastAsia="Times New Roman" w:hAnsi="Times New Roman" w:cs="Times New Roman"/>
      <w:i/>
      <w:sz w:val="24"/>
      <w:szCs w:val="20"/>
      <w:lang w:val="en-GB"/>
    </w:rPr>
  </w:style>
  <w:style w:type="paragraph" w:customStyle="1" w:styleId="footnote">
    <w:name w:val="footnote"/>
    <w:basedOn w:val="Textonotapie"/>
    <w:pPr>
      <w:ind w:left="0" w:firstLine="0"/>
    </w:pPr>
    <w:rPr>
      <w:rFonts w:asciiTheme="minorHAnsi" w:hAnsiTheme="minorHAnsi"/>
      <w:sz w:val="20"/>
    </w:rPr>
  </w:style>
  <w:style w:type="character" w:styleId="Hipervnculovisitado">
    <w:name w:val="FollowedHyperlink"/>
    <w:basedOn w:val="Fuentedeprrafopredeter"/>
    <w:uiPriority w:val="99"/>
    <w:semiHidden/>
    <w:unhideWhenUsed/>
    <w:rPr>
      <w:color w:val="800080" w:themeColor="followedHyperlink"/>
      <w:u w:val="single"/>
    </w:r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after="120" w:line="240" w:lineRule="auto"/>
      <w:jc w:val="both"/>
    </w:pPr>
    <w:rPr>
      <w:rFonts w:ascii="Times New Roman" w:eastAsia="Times New Roman" w:hAnsi="Times New Roman" w:cs="Times New Roman"/>
      <w:sz w:val="20"/>
      <w:szCs w:val="20"/>
      <w:lang w:val="en-GB"/>
    </w:rPr>
  </w:style>
  <w:style w:type="character" w:customStyle="1" w:styleId="TextocomentarioCar">
    <w:name w:val="Texto comentario Car"/>
    <w:basedOn w:val="Fuentedeprrafopredeter"/>
    <w:link w:val="Textocomentario"/>
    <w:uiPriority w:val="99"/>
    <w:rPr>
      <w:rFonts w:ascii="Times New Roman" w:eastAsia="Times New Roman" w:hAnsi="Times New Roman" w:cs="Times New Roman"/>
      <w:sz w:val="20"/>
      <w:szCs w:val="20"/>
      <w:lang w:val="en-GB"/>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rFonts w:ascii="Times New Roman" w:eastAsia="Times New Roman" w:hAnsi="Times New Roman" w:cs="Times New Roman"/>
      <w:b/>
      <w:bCs/>
      <w:sz w:val="20"/>
      <w:szCs w:val="20"/>
      <w:lang w:val="en-GB"/>
    </w:rPr>
  </w:style>
  <w:style w:type="paragraph" w:styleId="Textoindependiente">
    <w:name w:val="Body Text"/>
    <w:aliases w:val="Document,Doc,Body Text2,doc,Standard paragraph,BodyText,(Norm),Body Text 12,bt,gl,uvlaka 2,heading3,Body Text - Level 2,1body,BodText,body text,Body Txt,Body Text-10,Body Text Char2,Text Char1,Text body, Car, (Norm),Τίτλος Μελέτης,b."/>
    <w:basedOn w:val="Normal"/>
    <w:link w:val="TextoindependienteCar"/>
    <w:qFormat/>
    <w:pPr>
      <w:spacing w:after="120" w:line="240" w:lineRule="auto"/>
      <w:jc w:val="both"/>
    </w:pPr>
    <w:rPr>
      <w:rFonts w:ascii="Georgia" w:eastAsia="Times New Roman" w:hAnsi="Georgia" w:cs="Times New Roman"/>
      <w:sz w:val="20"/>
      <w:szCs w:val="24"/>
      <w:lang w:val="fr-FR"/>
    </w:rPr>
  </w:style>
  <w:style w:type="character" w:customStyle="1" w:styleId="TextoindependienteCar">
    <w:name w:val="Texto independiente Car"/>
    <w:aliases w:val="Document Car,Doc Car,Body Text2 Car,doc Car,Standard paragraph Car,BodyText Car,(Norm) Car,Body Text 12 Car,bt Car,gl Car,uvlaka 2 Car,heading3 Car,Body Text - Level 2 Car,1body Car,BodText Car,body text Car,Body Txt Car, Car Car"/>
    <w:basedOn w:val="Fuentedeprrafopredeter"/>
    <w:link w:val="Textoindependiente"/>
    <w:rPr>
      <w:rFonts w:ascii="Georgia" w:eastAsia="Times New Roman" w:hAnsi="Georgia" w:cs="Times New Roman"/>
      <w:sz w:val="20"/>
      <w:szCs w:val="24"/>
      <w:lang w:val="fr-FR"/>
    </w:rPr>
  </w:style>
  <w:style w:type="paragraph" w:styleId="Revisin">
    <w:name w:val="Revision"/>
    <w:hidden/>
    <w:uiPriority w:val="99"/>
    <w:semiHidden/>
    <w:pPr>
      <w:spacing w:after="0" w:line="240" w:lineRule="auto"/>
    </w:pPr>
    <w:rPr>
      <w:lang w:val="en-GB"/>
    </w:rPr>
  </w:style>
  <w:style w:type="character" w:styleId="nfasisintenso">
    <w:name w:val="Intense Emphasis"/>
    <w:basedOn w:val="Fuentedeprrafopredeter"/>
    <w:uiPriority w:val="21"/>
    <w:qFormat/>
    <w:rPr>
      <w:b/>
      <w:bCs/>
      <w:i/>
      <w:iCs/>
      <w:color w:val="4F81BD" w:themeColor="accent1"/>
    </w:rPr>
  </w:style>
  <w:style w:type="paragraph" w:styleId="Cita">
    <w:name w:val="Quote"/>
    <w:aliases w:val="Quotation (long)"/>
    <w:basedOn w:val="Normal"/>
    <w:link w:val="CitaCar"/>
    <w:uiPriority w:val="11"/>
    <w:qFormat/>
    <w:pPr>
      <w:spacing w:after="120" w:line="240" w:lineRule="auto"/>
      <w:ind w:left="1021" w:right="1021"/>
      <w:jc w:val="both"/>
    </w:pPr>
    <w:rPr>
      <w:rFonts w:ascii="Times New Roman" w:eastAsia="SimSun" w:hAnsi="Times New Roman" w:cs="Times New Roman"/>
      <w:i/>
      <w:iCs/>
      <w:color w:val="404040"/>
      <w:sz w:val="24"/>
      <w:szCs w:val="20"/>
      <w:lang w:val="en-GB"/>
    </w:rPr>
  </w:style>
  <w:style w:type="character" w:customStyle="1" w:styleId="CitaCar">
    <w:name w:val="Cita Car"/>
    <w:aliases w:val="Quotation (long) Car"/>
    <w:basedOn w:val="Fuentedeprrafopredeter"/>
    <w:link w:val="Cita"/>
    <w:uiPriority w:val="11"/>
    <w:rPr>
      <w:rFonts w:ascii="Times New Roman" w:eastAsia="SimSun" w:hAnsi="Times New Roman" w:cs="Times New Roman"/>
      <w:i/>
      <w:iCs/>
      <w:color w:val="404040"/>
      <w:sz w:val="24"/>
      <w:szCs w:val="20"/>
      <w:lang w:val="en-GB"/>
    </w:rPr>
  </w:style>
  <w:style w:type="paragraph" w:styleId="Listaconvietas5">
    <w:name w:val="List Bullet 5"/>
    <w:basedOn w:val="Normal"/>
    <w:autoRedefine/>
    <w:pPr>
      <w:numPr>
        <w:numId w:val="3"/>
      </w:numPr>
      <w:spacing w:after="240" w:line="240" w:lineRule="auto"/>
      <w:jc w:val="both"/>
    </w:pPr>
    <w:rPr>
      <w:rFonts w:ascii="Times New Roman" w:eastAsia="Times New Roman" w:hAnsi="Times New Roman" w:cs="Times New Roman"/>
      <w:sz w:val="24"/>
      <w:szCs w:val="20"/>
      <w:lang w:val="en-GB"/>
    </w:rPr>
  </w:style>
  <w:style w:type="paragraph" w:styleId="Lista3">
    <w:name w:val="List 3"/>
    <w:basedOn w:val="Normal"/>
    <w:pPr>
      <w:spacing w:after="240" w:line="240" w:lineRule="auto"/>
      <w:ind w:left="849" w:hanging="283"/>
      <w:jc w:val="both"/>
    </w:pPr>
    <w:rPr>
      <w:rFonts w:ascii="Times New Roman" w:eastAsia="Times New Roman" w:hAnsi="Times New Roman" w:cs="Times New Roman"/>
      <w:sz w:val="24"/>
      <w:szCs w:val="20"/>
      <w:lang w:val="en-GB"/>
    </w:rPr>
  </w:style>
  <w:style w:type="table" w:customStyle="1" w:styleId="PlainTable41">
    <w:name w:val="Plain Table 41"/>
    <w:basedOn w:val="Tablanormal"/>
    <w:uiPriority w:val="44"/>
    <w:pPr>
      <w:spacing w:after="0" w:line="240" w:lineRule="auto"/>
    </w:pPr>
    <w:rPr>
      <w:rFonts w:eastAsia="Calibri"/>
      <w:lang w:val="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DC3">
    <w:name w:val="toc 3"/>
    <w:basedOn w:val="Normal"/>
    <w:next w:val="Normal"/>
    <w:autoRedefine/>
    <w:uiPriority w:val="39"/>
    <w:unhideWhenUsed/>
    <w:pPr>
      <w:tabs>
        <w:tab w:val="left" w:pos="1320"/>
        <w:tab w:val="right" w:leader="dot" w:pos="8608"/>
      </w:tabs>
      <w:spacing w:after="100" w:line="240" w:lineRule="auto"/>
      <w:ind w:left="720"/>
      <w:jc w:val="both"/>
    </w:pPr>
    <w:rPr>
      <w:rFonts w:ascii="Times New Roman" w:eastAsia="Times New Roman" w:hAnsi="Times New Roman" w:cs="Times New Roman"/>
      <w:sz w:val="24"/>
      <w:szCs w:val="20"/>
      <w:lang w:val="en-GB"/>
    </w:rPr>
  </w:style>
  <w:style w:type="paragraph" w:styleId="NormalWeb">
    <w:name w:val="Normal (Web)"/>
    <w:basedOn w:val="Normal"/>
    <w:uiPriority w:val="99"/>
    <w:unhideWhenUsed/>
    <w:pPr>
      <w:spacing w:before="100" w:beforeAutospacing="1" w:after="100" w:afterAutospacing="1" w:line="240" w:lineRule="auto"/>
      <w:jc w:val="both"/>
    </w:pPr>
    <w:rPr>
      <w:rFonts w:ascii="Times New Roman" w:eastAsia="Times New Roman" w:hAnsi="Times New Roman" w:cs="Times New Roman"/>
      <w:sz w:val="24"/>
      <w:szCs w:val="24"/>
      <w:lang w:val="en-GB" w:eastAsia="en-GB"/>
    </w:rPr>
  </w:style>
  <w:style w:type="table" w:customStyle="1" w:styleId="Cuadrculaclara-nfasis11">
    <w:name w:val="Cuadrícula clara - Énfasis 11"/>
    <w:basedOn w:val="Tablanormal"/>
    <w:uiPriority w:val="62"/>
    <w:pPr>
      <w:spacing w:after="0" w:line="240" w:lineRule="auto"/>
    </w:pPr>
    <w:rPr>
      <w:rFonts w:ascii="Calibri" w:eastAsia="Calibri"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100" w:beforeAutospacing="1" w:afterLines="0" w:after="100" w:afterAutospacing="1" w:line="240" w:lineRule="auto"/>
      </w:pPr>
      <w:rPr>
        <w:rFonts w:ascii="Cambria" w:eastAsia="Times New Roman" w:hAnsi="Cambri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100" w:beforeAutospacing="1" w:afterLines="0" w:after="100" w:afterAutospacing="1" w:line="240" w:lineRule="auto"/>
      </w:pPr>
      <w:rPr>
        <w:rFonts w:ascii="Cambria" w:eastAsia="Times New Roman" w:hAnsi="Cambri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tandardtableformat1">
    <w:name w:val="Standard table format1"/>
    <w:basedOn w:val="Tablanormal"/>
    <w:next w:val="Tablaconcuadrcul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andardtableformat2">
    <w:name w:val="Standard table format2"/>
    <w:basedOn w:val="Tablanormal"/>
    <w:next w:val="Tablaconcuadrcul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andardtableformat3">
    <w:name w:val="Standard table format3"/>
    <w:basedOn w:val="Tablanormal"/>
    <w:next w:val="Tablaconcuadrcul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letter">
    <w:name w:val="Point 1 (letter)"/>
    <w:basedOn w:val="Normal"/>
    <w:uiPriority w:val="99"/>
    <w:pPr>
      <w:spacing w:before="120" w:after="120" w:line="240" w:lineRule="auto"/>
      <w:ind w:left="1417" w:hanging="567"/>
      <w:jc w:val="both"/>
    </w:pPr>
    <w:rPr>
      <w:rFonts w:ascii="Times New Roman" w:eastAsia="Times New Roman" w:hAnsi="Times New Roman" w:cs="Times New Roman"/>
      <w:sz w:val="24"/>
      <w:szCs w:val="24"/>
      <w:lang w:val="en-GB"/>
    </w:rPr>
  </w:style>
  <w:style w:type="character" w:customStyle="1" w:styleId="CommentTextChar1">
    <w:name w:val="Comment Text Char1"/>
    <w:basedOn w:val="Fuentedeprrafopredeter"/>
    <w:uiPriority w:val="99"/>
    <w:rPr>
      <w:rFonts w:ascii="EC Square Sans Pro" w:hAnsi="EC Square Sans Pro"/>
      <w:sz w:val="20"/>
      <w:szCs w:val="20"/>
    </w:rPr>
  </w:style>
  <w:style w:type="paragraph" w:styleId="Textosinformato">
    <w:name w:val="Plain Text"/>
    <w:basedOn w:val="Normal"/>
    <w:link w:val="TextosinformatoCar"/>
    <w:uiPriority w:val="99"/>
    <w:unhideWhenUsed/>
    <w:pPr>
      <w:spacing w:after="0" w:line="240" w:lineRule="auto"/>
    </w:pPr>
    <w:rPr>
      <w:rFonts w:ascii="Calibri" w:hAnsi="Calibri"/>
      <w:szCs w:val="21"/>
      <w:lang w:val="en-GB"/>
    </w:rPr>
  </w:style>
  <w:style w:type="character" w:customStyle="1" w:styleId="TextosinformatoCar">
    <w:name w:val="Texto sin formato Car"/>
    <w:basedOn w:val="Fuentedeprrafopredeter"/>
    <w:link w:val="Textosinformato"/>
    <w:uiPriority w:val="99"/>
    <w:rPr>
      <w:rFonts w:ascii="Calibri" w:hAnsi="Calibri"/>
      <w:szCs w:val="21"/>
      <w:lang w:val="en-GB"/>
    </w:rPr>
  </w:style>
  <w:style w:type="paragraph" w:styleId="Listaconnmeros">
    <w:name w:val="List Number"/>
    <w:basedOn w:val="Normal"/>
    <w:uiPriority w:val="99"/>
    <w:semiHidden/>
    <w:unhideWhenUsed/>
    <w:pPr>
      <w:tabs>
        <w:tab w:val="num" w:pos="360"/>
      </w:tabs>
      <w:spacing w:after="120" w:line="240" w:lineRule="auto"/>
      <w:ind w:left="360" w:hanging="360"/>
      <w:contextualSpacing/>
      <w:jc w:val="both"/>
    </w:pPr>
    <w:rPr>
      <w:rFonts w:ascii="Times New Roman" w:eastAsia="Times New Roman" w:hAnsi="Times New Roman" w:cs="Times New Roman"/>
      <w:sz w:val="24"/>
      <w:szCs w:val="20"/>
      <w:lang w:val="en-GB"/>
    </w:rPr>
  </w:style>
  <w:style w:type="paragraph" w:customStyle="1" w:styleId="TechnicalBlock">
    <w:name w:val="Technical Block"/>
    <w:basedOn w:val="Normal"/>
    <w:link w:val="TechnicalBlockChar"/>
    <w:rsid w:val="008B1208"/>
    <w:pPr>
      <w:spacing w:after="240"/>
      <w:jc w:val="center"/>
    </w:pPr>
  </w:style>
  <w:style w:type="character" w:customStyle="1" w:styleId="TechnicalBlockChar">
    <w:name w:val="Technical Block Char"/>
    <w:basedOn w:val="Fuentedeprrafopredeter"/>
    <w:link w:val="TechnicalBlock"/>
    <w:rsid w:val="008B1208"/>
  </w:style>
  <w:style w:type="paragraph" w:customStyle="1" w:styleId="Lignefinal">
    <w:name w:val="Ligne final"/>
    <w:basedOn w:val="Normal"/>
    <w:next w:val="Normal"/>
    <w:rsid w:val="008B1208"/>
    <w:pPr>
      <w:pBdr>
        <w:bottom w:val="single" w:sz="4" w:space="0" w:color="000000"/>
      </w:pBdr>
      <w:spacing w:before="360" w:after="120" w:line="360" w:lineRule="auto"/>
      <w:ind w:left="3400" w:right="3400"/>
      <w:jc w:val="center"/>
    </w:pPr>
    <w:rPr>
      <w:rFonts w:ascii="Times New Roman" w:hAnsi="Times New Roman" w:cs="Times New Roman"/>
      <w:b/>
      <w:sz w:val="24"/>
    </w:rPr>
  </w:style>
  <w:style w:type="paragraph" w:customStyle="1" w:styleId="EntText">
    <w:name w:val="EntText"/>
    <w:basedOn w:val="Normal"/>
    <w:rsid w:val="008B1208"/>
    <w:pPr>
      <w:spacing w:before="120" w:after="120" w:line="360" w:lineRule="auto"/>
    </w:pPr>
    <w:rPr>
      <w:rFonts w:ascii="Times New Roman" w:hAnsi="Times New Roman" w:cs="Times New Roman"/>
      <w:sz w:val="24"/>
    </w:rPr>
  </w:style>
  <w:style w:type="paragraph" w:customStyle="1" w:styleId="pj">
    <w:name w:val="p.j."/>
    <w:basedOn w:val="Normal"/>
    <w:link w:val="pjChar"/>
    <w:rsid w:val="008B1208"/>
    <w:pPr>
      <w:spacing w:before="1200" w:after="120" w:line="240" w:lineRule="auto"/>
      <w:ind w:left="1440" w:hanging="1440"/>
    </w:pPr>
    <w:rPr>
      <w:rFonts w:ascii="Times New Roman" w:hAnsi="Times New Roman" w:cs="Times New Roman"/>
      <w:sz w:val="24"/>
    </w:rPr>
  </w:style>
  <w:style w:type="character" w:customStyle="1" w:styleId="pjChar">
    <w:name w:val="p.j. Char"/>
    <w:basedOn w:val="TechnicalBlockChar"/>
    <w:link w:val="pj"/>
    <w:rsid w:val="008B1208"/>
    <w:rPr>
      <w:rFonts w:ascii="Times New Roman" w:hAnsi="Times New Roman" w:cs="Times New Roman"/>
      <w:sz w:val="24"/>
    </w:rPr>
  </w:style>
  <w:style w:type="paragraph" w:customStyle="1" w:styleId="nbbordered">
    <w:name w:val="nb bordered"/>
    <w:basedOn w:val="Normal"/>
    <w:link w:val="nbborderedChar"/>
    <w:rsid w:val="008B1208"/>
    <w:pPr>
      <w:pBdr>
        <w:top w:val="single" w:sz="4" w:space="1" w:color="auto"/>
        <w:left w:val="single" w:sz="4" w:space="4" w:color="auto"/>
        <w:bottom w:val="single" w:sz="4" w:space="1" w:color="auto"/>
        <w:right w:val="single" w:sz="4" w:space="4" w:color="auto"/>
        <w:between w:val="single" w:sz="4" w:space="0" w:color="auto"/>
      </w:pBdr>
      <w:spacing w:after="160" w:line="240" w:lineRule="auto"/>
      <w:ind w:left="480" w:hanging="480"/>
    </w:pPr>
    <w:rPr>
      <w:rFonts w:ascii="Times New Roman" w:hAnsi="Times New Roman" w:cs="Times New Roman"/>
      <w:b/>
      <w:sz w:val="24"/>
    </w:rPr>
  </w:style>
  <w:style w:type="character" w:customStyle="1" w:styleId="nbborderedChar">
    <w:name w:val="nb bordered Char"/>
    <w:basedOn w:val="TechnicalBlockChar"/>
    <w:link w:val="nbbordered"/>
    <w:rsid w:val="008B1208"/>
    <w:rPr>
      <w:rFonts w:ascii="Times New Roman" w:hAnsi="Times New Roman" w:cs="Times New Roman"/>
      <w:b/>
      <w:sz w:val="24"/>
    </w:rPr>
  </w:style>
  <w:style w:type="paragraph" w:customStyle="1" w:styleId="HeaderCouncil">
    <w:name w:val="Header Council"/>
    <w:basedOn w:val="Normal"/>
    <w:link w:val="HeaderCouncilChar"/>
    <w:rsid w:val="008B1208"/>
    <w:pPr>
      <w:spacing w:after="0"/>
    </w:pPr>
    <w:rPr>
      <w:sz w:val="2"/>
    </w:rPr>
  </w:style>
  <w:style w:type="character" w:customStyle="1" w:styleId="HeaderCouncilChar">
    <w:name w:val="Header Council Char"/>
    <w:basedOn w:val="Fuentedeprrafopredeter"/>
    <w:link w:val="HeaderCouncil"/>
    <w:rsid w:val="008B1208"/>
    <w:rPr>
      <w:sz w:val="2"/>
    </w:rPr>
  </w:style>
  <w:style w:type="paragraph" w:customStyle="1" w:styleId="HeaderCouncilLarge">
    <w:name w:val="Header Council Large"/>
    <w:basedOn w:val="Normal"/>
    <w:link w:val="HeaderCouncilLargeChar"/>
    <w:rsid w:val="008B1208"/>
    <w:pPr>
      <w:spacing w:after="440"/>
    </w:pPr>
    <w:rPr>
      <w:sz w:val="2"/>
    </w:rPr>
  </w:style>
  <w:style w:type="character" w:customStyle="1" w:styleId="HeaderCouncilLargeChar">
    <w:name w:val="Header Council Large Char"/>
    <w:basedOn w:val="Fuentedeprrafopredeter"/>
    <w:link w:val="HeaderCouncilLarge"/>
    <w:rsid w:val="008B1208"/>
    <w:rPr>
      <w:sz w:val="2"/>
    </w:rPr>
  </w:style>
  <w:style w:type="paragraph" w:customStyle="1" w:styleId="FooterCouncil">
    <w:name w:val="Footer Council"/>
    <w:basedOn w:val="Normal"/>
    <w:link w:val="FooterCouncilChar"/>
    <w:rsid w:val="008B1208"/>
    <w:pPr>
      <w:spacing w:after="0"/>
    </w:pPr>
    <w:rPr>
      <w:sz w:val="2"/>
    </w:rPr>
  </w:style>
  <w:style w:type="character" w:customStyle="1" w:styleId="FooterCouncilChar">
    <w:name w:val="Footer Council Char"/>
    <w:basedOn w:val="Fuentedeprrafopredeter"/>
    <w:link w:val="FooterCouncil"/>
    <w:rsid w:val="008B1208"/>
    <w:rPr>
      <w:sz w:val="2"/>
    </w:rPr>
  </w:style>
  <w:style w:type="paragraph" w:customStyle="1" w:styleId="FooterText">
    <w:name w:val="Footer Text"/>
    <w:basedOn w:val="Normal"/>
    <w:rsid w:val="008B1208"/>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2.emf"/><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6.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b4acb1ee-8fb0-4a85-a064-4617d91d957b">JD2AT6XXVRPF-3-50632</_dlc_DocId>
    <_dlc_DocIdUrl xmlns="b4acb1ee-8fb0-4a85-a064-4617d91d957b">
      <Url>http://intranetreper.ue-bru.inet/sitios/iv/_layouts/DocIdRedir.aspx?ID=JD2AT6XXVRPF-3-50632</Url>
      <Description>JD2AT6XXVRPF-3-50632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D77B465C873A24E93D7C99C8AB83C74" ma:contentTypeVersion="0" ma:contentTypeDescription="Crear nuevo documento." ma:contentTypeScope="" ma:versionID="4155c680e3fe1adc85cddd6adea0a1cb">
  <xsd:schema xmlns:xsd="http://www.w3.org/2001/XMLSchema" xmlns:xs="http://www.w3.org/2001/XMLSchema" xmlns:p="http://schemas.microsoft.com/office/2006/metadata/properties" xmlns:ns2="b4acb1ee-8fb0-4a85-a064-4617d91d957b" targetNamespace="http://schemas.microsoft.com/office/2006/metadata/properties" ma:root="true" ma:fieldsID="a2b92ac6d0b3ca0115c64c725dbe282a" ns2:_="">
    <xsd:import namespace="b4acb1ee-8fb0-4a85-a064-4617d91d957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acb1ee-8fb0-4a85-a064-4617d91d957b"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5BAA868-0615-4773-8589-88A82BE66220}"/>
</file>

<file path=customXml/itemProps2.xml><?xml version="1.0" encoding="utf-8"?>
<ds:datastoreItem xmlns:ds="http://schemas.openxmlformats.org/officeDocument/2006/customXml" ds:itemID="{C1FCC7A3-B9EA-4D85-9E9C-1862AAFEF540}"/>
</file>

<file path=customXml/itemProps3.xml><?xml version="1.0" encoding="utf-8"?>
<ds:datastoreItem xmlns:ds="http://schemas.openxmlformats.org/officeDocument/2006/customXml" ds:itemID="{D1BFD818-75AB-4547-9227-F0EA1295B1DF}"/>
</file>

<file path=customXml/itemProps4.xml><?xml version="1.0" encoding="utf-8"?>
<ds:datastoreItem xmlns:ds="http://schemas.openxmlformats.org/officeDocument/2006/customXml" ds:itemID="{3E276CB8-5EB7-437B-AD3E-2C191A50A68F}"/>
</file>

<file path=docProps/app.xml><?xml version="1.0" encoding="utf-8"?>
<Properties xmlns="http://schemas.openxmlformats.org/officeDocument/2006/extended-properties" xmlns:vt="http://schemas.openxmlformats.org/officeDocument/2006/docPropsVTypes">
  <Template>Normal</Template>
  <TotalTime>0</TotalTime>
  <Pages>6</Pages>
  <Words>2302</Words>
  <Characters>12662</Characters>
  <Application>Microsoft Office Word</Application>
  <DocSecurity>4</DocSecurity>
  <Lines>105</Lines>
  <Paragraphs>29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VROOMEN Elise</dc:creator>
  <cp:lastModifiedBy>DOVAL LOPEZ, Delia</cp:lastModifiedBy>
  <cp:revision>2</cp:revision>
  <cp:lastPrinted>2018-05-29T13:44:00Z</cp:lastPrinted>
  <dcterms:created xsi:type="dcterms:W3CDTF">2018-06-12T09:18:00Z</dcterms:created>
  <dcterms:modified xsi:type="dcterms:W3CDTF">2018-06-12T09:18:00Z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vel of sensitivity">
    <vt:lpwstr>Standard treatment</vt:lpwstr>
  </property>
  <property fmtid="{D5CDD505-2E9C-101B-9397-08002B2CF9AE}" pid="3" name="Part">
    <vt:lpwstr>1</vt:lpwstr>
  </property>
  <property fmtid="{D5CDD505-2E9C-101B-9397-08002B2CF9AE}" pid="4" name="Total parts">
    <vt:lpwstr>1</vt:lpwstr>
  </property>
  <property fmtid="{D5CDD505-2E9C-101B-9397-08002B2CF9AE}" pid="5" name="DocStatus">
    <vt:lpwstr>Green</vt:lpwstr>
  </property>
  <property fmtid="{D5CDD505-2E9C-101B-9397-08002B2CF9AE}" pid="6" name="ContentTypeId">
    <vt:lpwstr>0x0101006D77B465C873A24E93D7C99C8AB83C74</vt:lpwstr>
  </property>
  <property fmtid="{D5CDD505-2E9C-101B-9397-08002B2CF9AE}" pid="7" name="Created using">
    <vt:lpwstr>DocuWrite 4.1.22, Build 20180604</vt:lpwstr>
  </property>
  <property fmtid="{D5CDD505-2E9C-101B-9397-08002B2CF9AE}" pid="8" name="Last edited using">
    <vt:lpwstr>DocuWrite 4.1.22, Build 20180604</vt:lpwstr>
  </property>
  <property fmtid="{D5CDD505-2E9C-101B-9397-08002B2CF9AE}" pid="9" name="_dlc_DocIdItemGuid">
    <vt:lpwstr>692c8c3a-504b-4fa6-8494-d450a2dcac7f</vt:lpwstr>
  </property>
</Properties>
</file>